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- 2026-10-06</w:t>
      </w:r>
    </w:p>
    <w:p>
      <w:pPr>
        <w:pStyle w:val="ListBullet"/>
      </w:pPr>
      <w:r>
        <w:t>生成时间（美东）：2026-10-06 22:27:47 EDT</w:t>
      </w:r>
    </w:p>
    <w:p>
      <w:pPr>
        <w:pStyle w:val="ListBullet"/>
      </w:pPr>
      <w:r>
        <w:t>最新可用交易日：2026-10-06</w:t>
      </w:r>
    </w:p>
    <w:p>
      <w:pPr>
        <w:pStyle w:val="ListBullet"/>
      </w:pPr>
      <w:r>
        <w:t>数据源优先级：Yahoo Chart API -&gt; yfinance（可选备用，无需额外配置）</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ASTS</w:t>
            </w:r>
          </w:p>
        </w:tc>
        <w:tc>
          <w:tcPr>
            <w:tcW w:type="dxa" w:w="960"/>
          </w:tcPr>
          <w:p>
            <w:r>
              <w:t>AST SpaceMobile</w:t>
            </w:r>
          </w:p>
        </w:tc>
        <w:tc>
          <w:tcPr>
            <w:tcW w:type="dxa" w:w="960"/>
          </w:tcPr>
          <w:p>
            <w:r>
              <w:t>A 强信号</w:t>
            </w:r>
          </w:p>
        </w:tc>
        <w:tc>
          <w:tcPr>
            <w:tcW w:type="dxa" w:w="960"/>
          </w:tcPr>
          <w:p>
            <w:r>
              <w:t>中轨反弹并接近上轨；成交量放大；下轨反弹：处于中轨与上轨之间；成交量温和改善</w:t>
            </w:r>
          </w:p>
        </w:tc>
        <w:tc>
          <w:tcPr>
            <w:tcW w:type="dxa" w:w="960"/>
          </w:tcPr>
          <w:p>
            <w:r>
              <w:t>靠近上轨</w:t>
            </w:r>
          </w:p>
        </w:tc>
        <w:tc>
          <w:tcPr>
            <w:tcW w:type="dxa" w:w="960"/>
          </w:tcPr>
          <w:p>
            <w:r>
              <w:t>11.78%</w:t>
            </w:r>
          </w:p>
        </w:tc>
        <w:tc>
          <w:tcPr>
            <w:tcW w:type="dxa" w:w="960"/>
          </w:tcPr>
          <w:p>
            <w:r>
              <w:t>0.895</w:t>
            </w:r>
          </w:p>
        </w:tc>
        <w:tc>
          <w:tcPr>
            <w:tcW w:type="dxa" w:w="960"/>
          </w:tcPr>
          <w:p>
            <w:r>
              <w:t>1.68</w:t>
            </w:r>
          </w:p>
        </w:tc>
        <w:tc>
          <w:tcPr>
            <w:tcW w:type="dxa" w:w="960"/>
          </w:tcPr>
          <w:p>
            <w:r>
              <w:t>股价从中轨附近反弹并接近上轨，且成交量放大，说明短线修复增强；若后续能维持中轨支撑并突破上</w:t>
            </w:r>
          </w:p>
        </w:tc>
      </w:tr>
      <w:tr>
        <w:tc>
          <w:tcPr>
            <w:tcW w:type="dxa" w:w="960"/>
          </w:tcPr>
          <w:p>
            <w:r>
              <w:t>AAOI</w:t>
            </w:r>
          </w:p>
        </w:tc>
        <w:tc>
          <w:tcPr>
            <w:tcW w:type="dxa" w:w="960"/>
          </w:tcPr>
          <w:p>
            <w:r>
              <w:t>Applied Optoelectronics</w:t>
            </w:r>
          </w:p>
        </w:tc>
        <w:tc>
          <w:tcPr>
            <w:tcW w:type="dxa" w:w="960"/>
          </w:tcPr>
          <w:p>
            <w:r>
              <w:t>A 强信号</w:t>
            </w:r>
          </w:p>
        </w:tc>
        <w:tc>
          <w:tcPr>
            <w:tcW w:type="dxa" w:w="960"/>
          </w:tcPr>
          <w:p>
            <w:r>
              <w:t>布林带向上开口（最近5天）；成交量放大；放量突破上轨-中；连续2日站上上轨</w:t>
            </w:r>
          </w:p>
        </w:tc>
        <w:tc>
          <w:tcPr>
            <w:tcW w:type="dxa" w:w="960"/>
          </w:tcPr>
          <w:p>
            <w:r>
              <w:t>突破上轨</w:t>
            </w:r>
          </w:p>
        </w:tc>
        <w:tc>
          <w:tcPr>
            <w:tcW w:type="dxa" w:w="960"/>
          </w:tcPr>
          <w:p>
            <w:r>
              <w:t>33.16%</w:t>
            </w:r>
          </w:p>
        </w:tc>
        <w:tc>
          <w:tcPr>
            <w:tcW w:type="dxa" w:w="960"/>
          </w:tcPr>
          <w:p>
            <w:r>
              <w:t>1.226</w:t>
            </w:r>
          </w:p>
        </w:tc>
        <w:tc>
          <w:tcPr>
            <w:tcW w:type="dxa" w:w="960"/>
          </w:tcPr>
          <w:p>
            <w:r>
              <w:t>1.63</w:t>
            </w:r>
          </w:p>
        </w:tc>
        <w:tc>
          <w:tcPr>
            <w:tcW w:type="dxa" w:w="960"/>
          </w:tcPr>
          <w:p>
            <w:r>
              <w:t>股价放量突破布林线上轨，说明短线多头动能较强，可能进入强势上涨阶段，但也要注意短线过热和回</w:t>
            </w:r>
          </w:p>
        </w:tc>
      </w:tr>
      <w:tr>
        <w:tc>
          <w:tcPr>
            <w:tcW w:type="dxa" w:w="960"/>
          </w:tcPr>
          <w:p>
            <w:r>
              <w:t>LUNR</w:t>
            </w:r>
          </w:p>
        </w:tc>
        <w:tc>
          <w:tcPr>
            <w:tcW w:type="dxa" w:w="960"/>
          </w:tcPr>
          <w:p>
            <w:r>
              <w:t>Intuitive Machines</w:t>
            </w:r>
          </w:p>
        </w:tc>
        <w:tc>
          <w:tcPr>
            <w:tcW w:type="dxa" w:w="960"/>
          </w:tcPr>
          <w:p>
            <w:r>
              <w:t>B 中等信号</w:t>
            </w:r>
          </w:p>
        </w:tc>
        <w:tc>
          <w:tcPr>
            <w:tcW w:type="dxa" w:w="960"/>
          </w:tcPr>
          <w:p>
            <w:r>
              <w:t>中等收口：Bandwidth低于近8个月20%分位且持续12天；中轨附近窄幅震荡；低位形态</w:t>
            </w:r>
          </w:p>
        </w:tc>
        <w:tc>
          <w:tcPr>
            <w:tcW w:type="dxa" w:w="960"/>
          </w:tcPr>
          <w:p>
            <w:r>
              <w:t>中轨附近</w:t>
            </w:r>
          </w:p>
        </w:tc>
        <w:tc>
          <w:tcPr>
            <w:tcW w:type="dxa" w:w="960"/>
          </w:tcPr>
          <w:p>
            <w:r>
              <w:t>18.75%</w:t>
            </w:r>
          </w:p>
        </w:tc>
        <w:tc>
          <w:tcPr>
            <w:tcW w:type="dxa" w:w="960"/>
          </w:tcPr>
          <w:p>
            <w:r>
              <w:t>0.615</w:t>
            </w:r>
          </w:p>
        </w:tc>
        <w:tc>
          <w:tcPr>
            <w:tcW w:type="dxa" w:w="960"/>
          </w:tcPr>
          <w:p>
            <w:r>
              <w:t>1.48</w:t>
            </w:r>
          </w:p>
        </w:tc>
        <w:tc>
          <w:tcPr>
            <w:tcW w:type="dxa" w:w="960"/>
          </w:tcPr>
          <w:p>
            <w:r>
              <w:t>布林带收口，说明波动率下降，股价可能处于蓄势阶段，但方向尚未确认。</w:t>
            </w:r>
          </w:p>
        </w:tc>
      </w:tr>
      <w:tr>
        <w:tc>
          <w:tcPr>
            <w:tcW w:type="dxa" w:w="960"/>
          </w:tcPr>
          <w:p>
            <w:r>
              <w:t>NBIS</w:t>
            </w:r>
          </w:p>
        </w:tc>
        <w:tc>
          <w:tcPr>
            <w:tcW w:type="dxa" w:w="960"/>
          </w:tcPr>
          <w:p>
            <w:r>
              <w:t>Nebius Group</w:t>
            </w:r>
          </w:p>
        </w:tc>
        <w:tc>
          <w:tcPr>
            <w:tcW w:type="dxa" w:w="960"/>
          </w:tcPr>
          <w:p>
            <w:r>
              <w:t>B 中等信号</w:t>
            </w:r>
          </w:p>
        </w:tc>
        <w:tc>
          <w:tcPr>
            <w:tcW w:type="dxa" w:w="960"/>
          </w:tcPr>
          <w:p>
            <w:r>
              <w:t>布林带向上开口（最近1天）；成交量放大</w:t>
            </w:r>
          </w:p>
        </w:tc>
        <w:tc>
          <w:tcPr>
            <w:tcW w:type="dxa" w:w="960"/>
          </w:tcPr>
          <w:p>
            <w:r>
              <w:t>靠近上轨</w:t>
            </w:r>
          </w:p>
        </w:tc>
        <w:tc>
          <w:tcPr>
            <w:tcW w:type="dxa" w:w="960"/>
          </w:tcPr>
          <w:p>
            <w:r>
              <w:t>19.57%</w:t>
            </w:r>
          </w:p>
        </w:tc>
        <w:tc>
          <w:tcPr>
            <w:tcW w:type="dxa" w:w="960"/>
          </w:tcPr>
          <w:p>
            <w:r>
              <w:t>0.938</w:t>
            </w:r>
          </w:p>
        </w:tc>
        <w:tc>
          <w:tcPr>
            <w:tcW w:type="dxa" w:w="960"/>
          </w:tcPr>
          <w:p>
            <w:r>
              <w:t>1.39</w:t>
            </w:r>
          </w:p>
        </w:tc>
        <w:tc>
          <w:tcPr>
            <w:tcW w:type="dxa" w:w="960"/>
          </w:tcPr>
          <w:p>
            <w:r>
              <w:t>布林带向上开口，说明波动率开始放大，股价接近上轨，可能进入趋势启动观察阶段，需要继续结合突</w:t>
            </w:r>
          </w:p>
        </w:tc>
      </w:tr>
      <w:tr>
        <w:tc>
          <w:tcPr>
            <w:tcW w:type="dxa" w:w="960"/>
          </w:tcPr>
          <w:p>
            <w:r>
              <w:t>FLY</w:t>
            </w:r>
          </w:p>
        </w:tc>
        <w:tc>
          <w:tcPr>
            <w:tcW w:type="dxa" w:w="960"/>
          </w:tcPr>
          <w:p>
            <w:r>
              <w:t>Firefly Aerospace</w:t>
            </w:r>
          </w:p>
        </w:tc>
        <w:tc>
          <w:tcPr>
            <w:tcW w:type="dxa" w:w="960"/>
          </w:tcPr>
          <w:p>
            <w:r>
              <w:t>B 中等信号</w:t>
            </w:r>
          </w:p>
        </w:tc>
        <w:tc>
          <w:tcPr>
            <w:tcW w:type="dxa" w:w="960"/>
          </w:tcPr>
          <w:p>
            <w:r>
              <w:t>中等收口：Bandwidth低于近8个月20%分位且持续16天；中轨附近窄幅震荡；低位形态</w:t>
            </w:r>
          </w:p>
        </w:tc>
        <w:tc>
          <w:tcPr>
            <w:tcW w:type="dxa" w:w="960"/>
          </w:tcPr>
          <w:p>
            <w:r>
              <w:t>中轨附近</w:t>
            </w:r>
          </w:p>
        </w:tc>
        <w:tc>
          <w:tcPr>
            <w:tcW w:type="dxa" w:w="960"/>
          </w:tcPr>
          <w:p>
            <w:r>
              <w:t>20.59%</w:t>
            </w:r>
          </w:p>
        </w:tc>
        <w:tc>
          <w:tcPr>
            <w:tcW w:type="dxa" w:w="960"/>
          </w:tcPr>
          <w:p>
            <w:r>
              <w:t>0.617</w:t>
            </w:r>
          </w:p>
        </w:tc>
        <w:tc>
          <w:tcPr>
            <w:tcW w:type="dxa" w:w="960"/>
          </w:tcPr>
          <w:p>
            <w:r>
              <w:t>1.22</w:t>
            </w:r>
          </w:p>
        </w:tc>
        <w:tc>
          <w:tcPr>
            <w:tcW w:type="dxa" w:w="960"/>
          </w:tcPr>
          <w:p>
            <w:r>
              <w:t>布林带收口，说明波动率下降，股价可能处于蓄势阶段，但方向尚未确认。</w:t>
            </w:r>
          </w:p>
        </w:tc>
      </w:tr>
      <w:tr>
        <w:tc>
          <w:tcPr>
            <w:tcW w:type="dxa" w:w="960"/>
          </w:tcPr>
          <w:p>
            <w:r>
              <w:t>AVGO</w:t>
            </w:r>
          </w:p>
        </w:tc>
        <w:tc>
          <w:tcPr>
            <w:tcW w:type="dxa" w:w="960"/>
          </w:tcPr>
          <w:p>
            <w:r>
              <w:t>Broadcom Inc.</w:t>
            </w:r>
          </w:p>
        </w:tc>
        <w:tc>
          <w:tcPr>
            <w:tcW w:type="dxa" w:w="960"/>
          </w:tcPr>
          <w:p>
            <w:r>
              <w:t>C 观察信号</w:t>
            </w:r>
          </w:p>
        </w:tc>
        <w:tc>
          <w:tcPr>
            <w:tcW w:type="dxa" w:w="960"/>
          </w:tcPr>
          <w:p>
            <w:r>
              <w:t>突破上轨但量能不足-弱</w:t>
            </w:r>
          </w:p>
        </w:tc>
        <w:tc>
          <w:tcPr>
            <w:tcW w:type="dxa" w:w="960"/>
          </w:tcPr>
          <w:p>
            <w:r>
              <w:t>突破上轨</w:t>
            </w:r>
          </w:p>
        </w:tc>
        <w:tc>
          <w:tcPr>
            <w:tcW w:type="dxa" w:w="960"/>
          </w:tcPr>
          <w:p>
            <w:r>
              <w:t>10.29%</w:t>
            </w:r>
          </w:p>
        </w:tc>
        <w:tc>
          <w:tcPr>
            <w:tcW w:type="dxa" w:w="960"/>
          </w:tcPr>
          <w:p>
            <w:r>
              <w:t>1.078</w:t>
            </w:r>
          </w:p>
        </w:tc>
        <w:tc>
          <w:tcPr>
            <w:tcW w:type="dxa" w:w="960"/>
          </w:tcPr>
          <w:p>
            <w:r>
              <w:t>1.26</w:t>
            </w:r>
          </w:p>
        </w:tc>
        <w:tc>
          <w:tcPr>
            <w:tcW w:type="dxa" w:w="960"/>
          </w:tcPr>
          <w:p>
            <w:r>
              <w:t>股价突破布林线上轨，但成交量确认不足，可能是假突破，需要下一交易日确认。</w:t>
            </w:r>
          </w:p>
        </w:tc>
      </w:tr>
      <w:tr>
        <w:tc>
          <w:tcPr>
            <w:tcW w:type="dxa" w:w="960"/>
          </w:tcPr>
          <w:p>
            <w:r>
              <w:t>OPTX</w:t>
            </w:r>
          </w:p>
        </w:tc>
        <w:tc>
          <w:tcPr>
            <w:tcW w:type="dxa" w:w="960"/>
          </w:tcPr>
          <w:p>
            <w:r>
              <w:t>Syntec Optics Holdings</w:t>
            </w:r>
          </w:p>
        </w:tc>
        <w:tc>
          <w:tcPr>
            <w:tcW w:type="dxa" w:w="960"/>
          </w:tcPr>
          <w:p>
            <w:r>
              <w:t>C 观察信号</w:t>
            </w:r>
          </w:p>
        </w:tc>
        <w:tc>
          <w:tcPr>
            <w:tcW w:type="dxa" w:w="960"/>
          </w:tcPr>
          <w:p>
            <w:r>
              <w:t>突破上轨但量能不足-弱；连续2日站上上轨</w:t>
            </w:r>
          </w:p>
        </w:tc>
        <w:tc>
          <w:tcPr>
            <w:tcW w:type="dxa" w:w="960"/>
          </w:tcPr>
          <w:p>
            <w:r>
              <w:t>突破上轨</w:t>
            </w:r>
          </w:p>
        </w:tc>
        <w:tc>
          <w:tcPr>
            <w:tcW w:type="dxa" w:w="960"/>
          </w:tcPr>
          <w:p>
            <w:r>
              <w:t>51.52%</w:t>
            </w:r>
          </w:p>
        </w:tc>
        <w:tc>
          <w:tcPr>
            <w:tcW w:type="dxa" w:w="960"/>
          </w:tcPr>
          <w:p>
            <w:r>
              <w:t>1.066</w:t>
            </w:r>
          </w:p>
        </w:tc>
        <w:tc>
          <w:tcPr>
            <w:tcW w:type="dxa" w:w="960"/>
          </w:tcPr>
          <w:p>
            <w:r>
              <w:t>1.13</w:t>
            </w:r>
          </w:p>
        </w:tc>
        <w:tc>
          <w:tcPr>
            <w:tcW w:type="dxa" w:w="960"/>
          </w:tcPr>
          <w:p>
            <w:r>
              <w:t>股价突破布林线上轨，但成交量确认不足，可能是假突破，需要下一交易日确认。</w:t>
            </w:r>
          </w:p>
        </w:tc>
      </w:tr>
      <w:tr>
        <w:tc>
          <w:tcPr>
            <w:tcW w:type="dxa" w:w="960"/>
          </w:tcPr>
          <w:p>
            <w:r>
              <w:t>SPCX</w:t>
            </w:r>
          </w:p>
        </w:tc>
        <w:tc>
          <w:tcPr>
            <w:tcW w:type="dxa" w:w="960"/>
          </w:tcPr>
          <w:p>
            <w:r>
              <w:t>Space Exploration Technologies</w:t>
            </w:r>
          </w:p>
        </w:tc>
        <w:tc>
          <w:tcPr>
            <w:tcW w:type="dxa" w:w="960"/>
          </w:tcPr>
          <w:p>
            <w:r>
              <w:t>C 观察信号</w:t>
            </w:r>
          </w:p>
        </w:tc>
        <w:tc>
          <w:tcPr>
            <w:tcW w:type="dxa" w:w="960"/>
          </w:tcPr>
          <w:p>
            <w:r>
              <w:t>突破上轨但量能不足-弱；连续2日站上上轨</w:t>
            </w:r>
          </w:p>
        </w:tc>
        <w:tc>
          <w:tcPr>
            <w:tcW w:type="dxa" w:w="960"/>
          </w:tcPr>
          <w:p>
            <w:r>
              <w:t>突破上轨</w:t>
            </w:r>
          </w:p>
        </w:tc>
        <w:tc>
          <w:tcPr>
            <w:tcW w:type="dxa" w:w="960"/>
          </w:tcPr>
          <w:p>
            <w:r>
              <w:t>19.09%</w:t>
            </w:r>
          </w:p>
        </w:tc>
        <w:tc>
          <w:tcPr>
            <w:tcW w:type="dxa" w:w="960"/>
          </w:tcPr>
          <w:p>
            <w:r>
              <w:t>1.178</w:t>
            </w:r>
          </w:p>
        </w:tc>
        <w:tc>
          <w:tcPr>
            <w:tcW w:type="dxa" w:w="960"/>
          </w:tcPr>
          <w:p>
            <w:r>
              <w:t>1.05</w:t>
            </w:r>
          </w:p>
        </w:tc>
        <w:tc>
          <w:tcPr>
            <w:tcW w:type="dxa" w:w="960"/>
          </w:tcPr>
          <w:p>
            <w:r>
              <w:t>股价突破布林线上轨，但成交量确认不足，可能是假突破，需要下一交易日确认。</w:t>
            </w:r>
          </w:p>
        </w:tc>
      </w:tr>
      <w:tr>
        <w:tc>
          <w:tcPr>
            <w:tcW w:type="dxa" w:w="960"/>
          </w:tcPr>
          <w:p>
            <w:r>
              <w:t>POET</w:t>
            </w:r>
          </w:p>
        </w:tc>
        <w:tc>
          <w:tcPr>
            <w:tcW w:type="dxa" w:w="960"/>
          </w:tcPr>
          <w:p>
            <w:r>
              <w:t>POET Technologies</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14.23%</w:t>
            </w:r>
          </w:p>
        </w:tc>
        <w:tc>
          <w:tcPr>
            <w:tcW w:type="dxa" w:w="960"/>
          </w:tcPr>
          <w:p>
            <w:r>
              <w:t>0.495</w:t>
            </w:r>
          </w:p>
        </w:tc>
        <w:tc>
          <w:tcPr>
            <w:tcW w:type="dxa" w:w="960"/>
          </w:tcPr>
          <w:p>
            <w:r>
              <w:t>1.05</w:t>
            </w:r>
          </w:p>
        </w:tc>
        <w:tc>
          <w:tcPr>
            <w:tcW w:type="dxa" w:w="960"/>
          </w:tcPr>
          <w:p>
            <w:r>
              <w:t>布林带收口，说明波动率下降，股价可能处于蓄势阶段，但方向尚未确认。</w:t>
            </w:r>
          </w:p>
        </w:tc>
      </w:tr>
      <w:tr>
        <w:tc>
          <w:tcPr>
            <w:tcW w:type="dxa" w:w="960"/>
          </w:tcPr>
          <w:p>
            <w:r>
              <w:t>MSFT</w:t>
            </w:r>
          </w:p>
        </w:tc>
        <w:tc>
          <w:tcPr>
            <w:tcW w:type="dxa" w:w="960"/>
          </w:tcPr>
          <w:p>
            <w:r>
              <w:t>Microsoft Corporation</w:t>
            </w:r>
          </w:p>
        </w:tc>
        <w:tc>
          <w:tcPr>
            <w:tcW w:type="dxa" w:w="960"/>
          </w:tcPr>
          <w:p>
            <w:r>
              <w:t>C 观察信号</w:t>
            </w:r>
          </w:p>
        </w:tc>
        <w:tc>
          <w:tcPr>
            <w:tcW w:type="dxa" w:w="960"/>
          </w:tcPr>
          <w:p>
            <w:r>
              <w:t>突破上轨但量能不足-弱；连续2日站上上轨</w:t>
            </w:r>
          </w:p>
        </w:tc>
        <w:tc>
          <w:tcPr>
            <w:tcW w:type="dxa" w:w="960"/>
          </w:tcPr>
          <w:p>
            <w:r>
              <w:t>突破上轨</w:t>
            </w:r>
          </w:p>
        </w:tc>
        <w:tc>
          <w:tcPr>
            <w:tcW w:type="dxa" w:w="960"/>
          </w:tcPr>
          <w:p>
            <w:r>
              <w:t>8.76%</w:t>
            </w:r>
          </w:p>
        </w:tc>
        <w:tc>
          <w:tcPr>
            <w:tcW w:type="dxa" w:w="960"/>
          </w:tcPr>
          <w:p>
            <w:r>
              <w:t>1.056</w:t>
            </w:r>
          </w:p>
        </w:tc>
        <w:tc>
          <w:tcPr>
            <w:tcW w:type="dxa" w:w="960"/>
          </w:tcPr>
          <w:p>
            <w:r>
              <w:t>0.97</w:t>
            </w:r>
          </w:p>
        </w:tc>
        <w:tc>
          <w:tcPr>
            <w:tcW w:type="dxa" w:w="960"/>
          </w:tcPr>
          <w:p>
            <w:r>
              <w:t>股价突破布林线上轨，但成交量确认不足，可能是假突破，需要下一交易日确认。</w:t>
            </w:r>
          </w:p>
        </w:tc>
      </w:tr>
      <w:tr>
        <w:tc>
          <w:tcPr>
            <w:tcW w:type="dxa" w:w="960"/>
          </w:tcPr>
          <w:p>
            <w:r>
              <w:t>LITE</w:t>
            </w:r>
          </w:p>
        </w:tc>
        <w:tc>
          <w:tcPr>
            <w:tcW w:type="dxa" w:w="960"/>
          </w:tcPr>
          <w:p>
            <w:r>
              <w:t>Lumentum Holdings</w:t>
            </w:r>
          </w:p>
        </w:tc>
        <w:tc>
          <w:tcPr>
            <w:tcW w:type="dxa" w:w="960"/>
          </w:tcPr>
          <w:p>
            <w:r>
              <w:t>C 观察信号</w:t>
            </w:r>
          </w:p>
        </w:tc>
        <w:tc>
          <w:tcPr>
            <w:tcW w:type="dxa" w:w="960"/>
          </w:tcPr>
          <w:p>
            <w:r>
              <w:t>突破上轨但量能不足-弱；连续2日站上上轨</w:t>
            </w:r>
          </w:p>
        </w:tc>
        <w:tc>
          <w:tcPr>
            <w:tcW w:type="dxa" w:w="960"/>
          </w:tcPr>
          <w:p>
            <w:r>
              <w:t>突破上轨</w:t>
            </w:r>
          </w:p>
        </w:tc>
        <w:tc>
          <w:tcPr>
            <w:tcW w:type="dxa" w:w="960"/>
          </w:tcPr>
          <w:p>
            <w:r>
              <w:t>31.46%</w:t>
            </w:r>
          </w:p>
        </w:tc>
        <w:tc>
          <w:tcPr>
            <w:tcW w:type="dxa" w:w="960"/>
          </w:tcPr>
          <w:p>
            <w:r>
              <w:t>1.074</w:t>
            </w:r>
          </w:p>
        </w:tc>
        <w:tc>
          <w:tcPr>
            <w:tcW w:type="dxa" w:w="960"/>
          </w:tcPr>
          <w:p>
            <w:r>
              <w:t>0.90</w:t>
            </w:r>
          </w:p>
        </w:tc>
        <w:tc>
          <w:tcPr>
            <w:tcW w:type="dxa" w:w="960"/>
          </w:tcPr>
          <w:p>
            <w:r>
              <w:t>股价突破布林线上轨，但成交量确认不足，可能是假突破，需要下一交易日确认。</w:t>
            </w:r>
          </w:p>
        </w:tc>
      </w:tr>
    </w:tbl>
    <w:p>
      <w:pPr>
        <w:pStyle w:val="Heading2"/>
      </w:pPr>
      <w:r>
        <w:t>二、重点结论</w:t>
      </w:r>
    </w:p>
    <w:p>
      <w:pPr>
        <w:pStyle w:val="ListBullet"/>
      </w:pPr>
      <w:r>
        <w:t>强信号：ASTS, AAOI。</w:t>
      </w:r>
    </w:p>
    <w:p>
      <w:pPr>
        <w:pStyle w:val="ListBullet"/>
      </w:pPr>
      <w:r>
        <w:t>中等信号：LUNR, NBIS, FLY。</w:t>
      </w:r>
    </w:p>
    <w:p>
      <w:pPr>
        <w:pStyle w:val="ListBullet"/>
      </w:pPr>
      <w:r>
        <w:t>观察信号：AVGO, OPTX, SPCX, POET, MSFT, LITE。</w:t>
      </w:r>
    </w:p>
    <w:p>
      <w:pPr>
        <w:pStyle w:val="ListBullet"/>
      </w:pPr>
      <w:r>
        <w:t>今日优先复核：ASTS, AAOI, LUNR, NBIS, FLY。优先看是否放量、能否站稳上轨或中轨。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ASTS - AST SpaceMobile</w:t>
      </w:r>
    </w:p>
    <w:p>
      <w:pPr>
        <w:pStyle w:val="ListBullet"/>
      </w:pPr>
      <w:r>
        <w:t>信号等级：A 强信号</w:t>
      </w:r>
    </w:p>
    <w:p>
      <w:pPr>
        <w:pStyle w:val="ListBullet"/>
      </w:pPr>
      <w:r>
        <w:t>最新收盘价：$63.12</w:t>
      </w:r>
    </w:p>
    <w:p>
      <w:pPr>
        <w:pStyle w:val="ListBullet"/>
      </w:pPr>
      <w:r>
        <w:t>BOLL：上轨 $63.86；中轨 $60.31；下轨 $56.76</w:t>
      </w:r>
    </w:p>
    <w:p>
      <w:pPr>
        <w:pStyle w:val="ListBullet"/>
      </w:pPr>
      <w:r>
        <w:t>Bandwidth：11.78%；历史分位：0.60%；%B：0.895</w:t>
      </w:r>
    </w:p>
    <w:p>
      <w:pPr>
        <w:pStyle w:val="ListBullet"/>
      </w:pPr>
      <w:r>
        <w:t>成交量：当日 17560300；20日均量 10464340；量比 1.68</w:t>
      </w:r>
    </w:p>
    <w:p>
      <w:pPr>
        <w:pStyle w:val="ListBullet"/>
      </w:pPr>
      <w:r>
        <w:t>触发信号：中轨反弹并接近上轨；成交量放大；下轨反弹：处于中轨与上轨之间；成交量温和改善；低位形态</w:t>
      </w:r>
    </w:p>
    <w:p>
      <w:pPr>
        <w:pStyle w:val="ListBullet"/>
      </w:pPr>
      <w:r>
        <w:t>技术面解读：股价从中轨附近反弹并接近上轨，且成交量放大，说明短线修复增强；若后续能维持中轨支撑并突破上轨，形态有望继续改善。</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AAOI - Applied Optoelectronics</w:t>
      </w:r>
    </w:p>
    <w:p>
      <w:pPr>
        <w:pStyle w:val="ListBullet"/>
      </w:pPr>
      <w:r>
        <w:t>信号等级：A 强信号</w:t>
      </w:r>
    </w:p>
    <w:p>
      <w:pPr>
        <w:pStyle w:val="ListBullet"/>
      </w:pPr>
      <w:r>
        <w:t>最新收盘价：$130.16</w:t>
      </w:r>
    </w:p>
    <w:p>
      <w:pPr>
        <w:pStyle w:val="ListBullet"/>
      </w:pPr>
      <w:r>
        <w:t>BOLL：上轨 $122.30；中轨 $104.91；下轨 $87.51</w:t>
      </w:r>
    </w:p>
    <w:p>
      <w:pPr>
        <w:pStyle w:val="ListBullet"/>
      </w:pPr>
      <w:r>
        <w:t>Bandwidth：33.16%；历史分位：14.29%；%B：1.226</w:t>
      </w:r>
    </w:p>
    <w:p>
      <w:pPr>
        <w:pStyle w:val="ListBullet"/>
      </w:pPr>
      <w:r>
        <w:t>成交量：当日 12486500；20日均量 7673630；量比 1.63</w:t>
      </w:r>
    </w:p>
    <w:p>
      <w:pPr>
        <w:pStyle w:val="ListBullet"/>
      </w:pPr>
      <w:r>
        <w:t>触发信号：布林带向上开口（最近5天）；成交量放大；放量突破上轨-中；连续2日站上上轨；中轨反弹并接近上轨；成交量放大</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风险提示：股价明显高于上轨，短线可能过热，需防回踩。</w:t>
      </w:r>
    </w:p>
    <w:p>
      <w:pPr>
        <w:pStyle w:val="Heading3"/>
      </w:pPr>
      <w:r>
        <w:t>LUNR - Intuitive Machines</w:t>
      </w:r>
    </w:p>
    <w:p>
      <w:pPr>
        <w:pStyle w:val="ListBullet"/>
      </w:pPr>
      <w:r>
        <w:t>信号等级：B 中等信号</w:t>
      </w:r>
    </w:p>
    <w:p>
      <w:pPr>
        <w:pStyle w:val="ListBullet"/>
      </w:pPr>
      <w:r>
        <w:t>最新收盘价：$15.06</w:t>
      </w:r>
    </w:p>
    <w:p>
      <w:pPr>
        <w:pStyle w:val="ListBullet"/>
      </w:pPr>
      <w:r>
        <w:t>BOLL：上轨 $16.12；中轨 $14.74；下轨 $13.36</w:t>
      </w:r>
    </w:p>
    <w:p>
      <w:pPr>
        <w:pStyle w:val="ListBullet"/>
      </w:pPr>
      <w:r>
        <w:t>Bandwidth：18.75%；历史分位：7.14%；%B：0.615</w:t>
      </w:r>
    </w:p>
    <w:p>
      <w:pPr>
        <w:pStyle w:val="ListBullet"/>
      </w:pPr>
      <w:r>
        <w:t>成交量：当日 11950100；20日均量 8077240；量比 1.48</w:t>
      </w:r>
    </w:p>
    <w:p>
      <w:pPr>
        <w:pStyle w:val="ListBullet"/>
      </w:pPr>
      <w:r>
        <w:t>触发信号：中等收口：Bandwidth低于近8个月20%分位且持续12天；中轨附近窄幅震荡；低位形态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NBIS - Nebius Group</w:t>
      </w:r>
    </w:p>
    <w:p>
      <w:pPr>
        <w:pStyle w:val="ListBullet"/>
      </w:pPr>
      <w:r>
        <w:t>信号等级：B 中等信号</w:t>
      </w:r>
    </w:p>
    <w:p>
      <w:pPr>
        <w:pStyle w:val="ListBullet"/>
      </w:pPr>
      <w:r>
        <w:t>最新收盘价：$249.87</w:t>
      </w:r>
    </w:p>
    <w:p>
      <w:pPr>
        <w:pStyle w:val="ListBullet"/>
      </w:pPr>
      <w:r>
        <w:t>BOLL：上轨 $252.64；中轨 $230.12；下轨 $207.60</w:t>
      </w:r>
    </w:p>
    <w:p>
      <w:pPr>
        <w:pStyle w:val="ListBullet"/>
      </w:pPr>
      <w:r>
        <w:t>Bandwidth：19.57%；历史分位：2.38%；%B：0.938</w:t>
      </w:r>
    </w:p>
    <w:p>
      <w:pPr>
        <w:pStyle w:val="ListBullet"/>
      </w:pPr>
      <w:r>
        <w:t>成交量：当日 21375600；20日均量 15345660；量比 1.39</w:t>
      </w:r>
    </w:p>
    <w:p>
      <w:pPr>
        <w:pStyle w:val="ListBullet"/>
      </w:pPr>
      <w:r>
        <w:t>触发信号：布林带向上开口（最近1天）；成交量放大</w:t>
      </w:r>
    </w:p>
    <w:p>
      <w:pPr>
        <w:pStyle w:val="ListBullet"/>
      </w:pPr>
      <w:r>
        <w:t>技术面解读：布林带向上开口，说明波动率开始放大，股价接近上轨，可能进入趋势启动观察阶段，需要继续结合突破方向和成交量判断。</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3"/>
      </w:pPr>
      <w:r>
        <w:t>FLY - Firefly Aerospace</w:t>
      </w:r>
    </w:p>
    <w:p>
      <w:pPr>
        <w:pStyle w:val="ListBullet"/>
      </w:pPr>
      <w:r>
        <w:t>信号等级：B 中等信号</w:t>
      </w:r>
    </w:p>
    <w:p>
      <w:pPr>
        <w:pStyle w:val="ListBullet"/>
      </w:pPr>
      <w:r>
        <w:t>最新收盘价：$22.83</w:t>
      </w:r>
    </w:p>
    <w:p>
      <w:pPr>
        <w:pStyle w:val="ListBullet"/>
      </w:pPr>
      <w:r>
        <w:t>BOLL：上轨 $24.59；中轨 $22.29；下轨 $20.00</w:t>
      </w:r>
    </w:p>
    <w:p>
      <w:pPr>
        <w:pStyle w:val="ListBullet"/>
      </w:pPr>
      <w:r>
        <w:t>Bandwidth：20.59%；历史分位：6.55%；%B：0.617</w:t>
      </w:r>
    </w:p>
    <w:p>
      <w:pPr>
        <w:pStyle w:val="ListBullet"/>
      </w:pPr>
      <w:r>
        <w:t>成交量：当日 4217000；20日均量 3443335；量比 1.22</w:t>
      </w:r>
    </w:p>
    <w:p>
      <w:pPr>
        <w:pStyle w:val="ListBullet"/>
      </w:pPr>
      <w:r>
        <w:t>触发信号：中等收口：Bandwidth低于近8个月20%分位且持续16天；中轨附近窄幅震荡；低位形态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AVGO - Broadcom Inc.</w:t>
      </w:r>
    </w:p>
    <w:p>
      <w:pPr>
        <w:pStyle w:val="ListBullet"/>
      </w:pPr>
      <w:r>
        <w:t>信号等级：C 观察信号</w:t>
      </w:r>
    </w:p>
    <w:p>
      <w:pPr>
        <w:pStyle w:val="ListBullet"/>
      </w:pPr>
      <w:r>
        <w:t>最新收盘价：$375.81</w:t>
      </w:r>
    </w:p>
    <w:p>
      <w:pPr>
        <w:pStyle w:val="ListBullet"/>
      </w:pPr>
      <w:r>
        <w:t>BOLL：上轨 $372.95；中轨 $354.70；下轨 $336.44</w:t>
      </w:r>
    </w:p>
    <w:p>
      <w:pPr>
        <w:pStyle w:val="ListBullet"/>
      </w:pPr>
      <w:r>
        <w:t>Bandwidth：10.29%；历史分位：13.69%；%B：1.078</w:t>
      </w:r>
    </w:p>
    <w:p>
      <w:pPr>
        <w:pStyle w:val="ListBullet"/>
      </w:pPr>
      <w:r>
        <w:t>成交量：当日 30791100；20日均量 24485320；量比 1.26</w:t>
      </w:r>
    </w:p>
    <w:p>
      <w:pPr>
        <w:pStyle w:val="ListBullet"/>
      </w:pPr>
      <w:r>
        <w:t>触发信号：突破上轨但量能不足-弱</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风险提示：突破上轨但成交量不足，存在假突破风险。；尚未连续两日站上上轨，需要下一交易日确认。</w:t>
      </w:r>
    </w:p>
    <w:p>
      <w:pPr>
        <w:pStyle w:val="Heading3"/>
      </w:pPr>
      <w:r>
        <w:t>OPTX - Syntec Optics Holdings</w:t>
      </w:r>
    </w:p>
    <w:p>
      <w:pPr>
        <w:pStyle w:val="ListBullet"/>
      </w:pPr>
      <w:r>
        <w:t>信号等级：C 观察信号</w:t>
      </w:r>
    </w:p>
    <w:p>
      <w:pPr>
        <w:pStyle w:val="ListBullet"/>
      </w:pPr>
      <w:r>
        <w:t>最新收盘价：$9.82</w:t>
      </w:r>
    </w:p>
    <w:p>
      <w:pPr>
        <w:pStyle w:val="ListBullet"/>
      </w:pPr>
      <w:r>
        <w:t>BOLL：上轨 $9.56；中轨 $7.60；下轨 $5.64</w:t>
      </w:r>
    </w:p>
    <w:p>
      <w:pPr>
        <w:pStyle w:val="ListBullet"/>
      </w:pPr>
      <w:r>
        <w:t>Bandwidth：51.52%；历史分位：52.98%；%B：1.066</w:t>
      </w:r>
    </w:p>
    <w:p>
      <w:pPr>
        <w:pStyle w:val="ListBullet"/>
      </w:pPr>
      <w:r>
        <w:t>成交量：当日 495200；20日均量 439870；量比 1.13</w:t>
      </w:r>
    </w:p>
    <w:p>
      <w:pPr>
        <w:pStyle w:val="ListBullet"/>
      </w:pPr>
      <w:r>
        <w:t>触发信号：突破上轨但量能不足-弱；连续2日站上上轨</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w:t>
      </w:r>
    </w:p>
    <w:p>
      <w:pPr>
        <w:pStyle w:val="Heading3"/>
      </w:pPr>
      <w:r>
        <w:t>SPCX - Space Exploration Technologies</w:t>
      </w:r>
    </w:p>
    <w:p>
      <w:pPr>
        <w:pStyle w:val="ListBullet"/>
      </w:pPr>
      <w:r>
        <w:t>信号等级：C 观察信号</w:t>
      </w:r>
    </w:p>
    <w:p>
      <w:pPr>
        <w:pStyle w:val="ListBullet"/>
      </w:pPr>
      <w:r>
        <w:t>最新收盘价：$171.92</w:t>
      </w:r>
    </w:p>
    <w:p>
      <w:pPr>
        <w:pStyle w:val="ListBullet"/>
      </w:pPr>
      <w:r>
        <w:t>BOLL：上轨 $166.74；中轨 $152.21；下轨 $137.68</w:t>
      </w:r>
    </w:p>
    <w:p>
      <w:pPr>
        <w:pStyle w:val="ListBullet"/>
      </w:pPr>
      <w:r>
        <w:t>Bandwidth：19.09%；历史分位：39.34%；%B：1.178</w:t>
      </w:r>
    </w:p>
    <w:p>
      <w:pPr>
        <w:pStyle w:val="ListBullet"/>
      </w:pPr>
      <w:r>
        <w:t>成交量：当日 104943800；20日均量 99485595；量比 1.05</w:t>
      </w:r>
    </w:p>
    <w:p>
      <w:pPr>
        <w:pStyle w:val="ListBullet"/>
      </w:pPr>
      <w:r>
        <w:t>触发信号：突破上轨但量能不足-弱；连续2日站上上轨</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风险提示：突破上轨但成交量不足，存在假突破风险。；股价明显高于上轨，短线可能过热，需防回踩。</w:t>
      </w:r>
    </w:p>
    <w:p>
      <w:pPr>
        <w:pStyle w:val="Heading3"/>
      </w:pPr>
      <w:r>
        <w:t>POET - POET Technologies</w:t>
      </w:r>
    </w:p>
    <w:p>
      <w:pPr>
        <w:pStyle w:val="ListBullet"/>
      </w:pPr>
      <w:r>
        <w:t>信号等级：C 观察信号</w:t>
      </w:r>
    </w:p>
    <w:p>
      <w:pPr>
        <w:pStyle w:val="ListBullet"/>
      </w:pPr>
      <w:r>
        <w:t>最新收盘价：$7.71</w:t>
      </w:r>
    </w:p>
    <w:p>
      <w:pPr>
        <w:pStyle w:val="ListBullet"/>
      </w:pPr>
      <w:r>
        <w:t>BOLL：上轨 $8.26；中轨 $7.72；下轨 $7.17</w:t>
      </w:r>
    </w:p>
    <w:p>
      <w:pPr>
        <w:pStyle w:val="ListBullet"/>
      </w:pPr>
      <w:r>
        <w:t>Bandwidth：14.23%；历史分位：0.60%；%B：0.495</w:t>
      </w:r>
    </w:p>
    <w:p>
      <w:pPr>
        <w:pStyle w:val="ListBullet"/>
      </w:pPr>
      <w:r>
        <w:t>成交量：当日 8107000；20日均量 7735765；量比 1.05</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MSFT - Microsoft Corporation</w:t>
      </w:r>
    </w:p>
    <w:p>
      <w:pPr>
        <w:pStyle w:val="ListBullet"/>
      </w:pPr>
      <w:r>
        <w:t>信号等级：C 观察信号</w:t>
      </w:r>
    </w:p>
    <w:p>
      <w:pPr>
        <w:pStyle w:val="ListBullet"/>
      </w:pPr>
      <w:r>
        <w:t>最新收盘价：$529.30</w:t>
      </w:r>
    </w:p>
    <w:p>
      <w:pPr>
        <w:pStyle w:val="ListBullet"/>
      </w:pPr>
      <w:r>
        <w:t>BOLL：上轨 $526.83；中轨 $504.71；下轨 $482.60</w:t>
      </w:r>
    </w:p>
    <w:p>
      <w:pPr>
        <w:pStyle w:val="ListBullet"/>
      </w:pPr>
      <w:r>
        <w:t>Bandwidth：8.76%；历史分位：35.12%；%B：1.056</w:t>
      </w:r>
    </w:p>
    <w:p>
      <w:pPr>
        <w:pStyle w:val="ListBullet"/>
      </w:pPr>
      <w:r>
        <w:t>成交量：当日 21092600；20日均量 21790610；量比 0.97</w:t>
      </w:r>
    </w:p>
    <w:p>
      <w:pPr>
        <w:pStyle w:val="ListBullet"/>
      </w:pPr>
      <w:r>
        <w:t>触发信号：突破上轨但量能不足-弱；连续2日站上上轨</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w:t>
      </w:r>
    </w:p>
    <w:p>
      <w:pPr>
        <w:pStyle w:val="Heading3"/>
      </w:pPr>
      <w:r>
        <w:t>LITE - Lumentum Holdings</w:t>
      </w:r>
    </w:p>
    <w:p>
      <w:pPr>
        <w:pStyle w:val="ListBullet"/>
      </w:pPr>
      <w:r>
        <w:t>信号等级：C 观察信号</w:t>
      </w:r>
    </w:p>
    <w:p>
      <w:pPr>
        <w:pStyle w:val="ListBullet"/>
      </w:pPr>
      <w:r>
        <w:t>最新收盘价：$1133.40</w:t>
      </w:r>
    </w:p>
    <w:p>
      <w:pPr>
        <w:pStyle w:val="ListBullet"/>
      </w:pPr>
      <w:r>
        <w:t>BOLL：上轨 $1111.02；中轨 $959.99；下轨 $808.96</w:t>
      </w:r>
    </w:p>
    <w:p>
      <w:pPr>
        <w:pStyle w:val="ListBullet"/>
      </w:pPr>
      <w:r>
        <w:t>Bandwidth：31.46%；历史分位：55.36%；%B：1.074</w:t>
      </w:r>
    </w:p>
    <w:p>
      <w:pPr>
        <w:pStyle w:val="ListBullet"/>
      </w:pPr>
      <w:r>
        <w:t>成交量：当日 4249500；20日均量 4711565；量比 0.90</w:t>
      </w:r>
    </w:p>
    <w:p>
      <w:pPr>
        <w:pStyle w:val="ListBullet"/>
      </w:pPr>
      <w:r>
        <w:t>触发信号：突破上轨但量能不足-弱；连续2日站上上轨</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w:t>
      </w:r>
    </w:p>
    <w:p>
      <w:pPr>
        <w:pStyle w:val="Heading2"/>
      </w:pPr>
      <w:r>
        <w:t>四、数据异常或无法判断</w:t>
      </w:r>
    </w:p>
    <w:p>
      <w:r>
        <w:t>未发现数据异常或无法判断的股票。</w:t>
      </w:r>
    </w:p>
    <w:p>
      <w:pPr>
        <w:pStyle w:val="Heading2"/>
      </w:pPr>
      <w:r>
        <w:t>五、无明显 BOLL 信号</w:t>
      </w:r>
    </w:p>
    <w:p>
      <w:r>
        <w:t>NOK（Nokia Oyj）, XE（X-energy）, RKLB（Rocket Lab USA）, ARM（Arm Holdings）, GLW（Corning）, COHR（Coherent）, MRVL（Marvell Technology）, INTC（Intel）, ALAB（Astera Labs）, CRWV（CoreWeave）, ORCL（Oracle）, NVTS（Navitas Semiconductor）, DELL（Dell Technologies）, BB（BlackBerry）, ONDS（Ondas Holdings）, SMR（NuScale Power）, OKLO（Oklo）, IONQ（IonQ）, QBTS（D-Wave Quantum）, NVDA（NVIDIA）, AMZN（Amazon.com）, AMD（Advanced Micro Devices）, CRCL（Circle Internet Group）, CBRS（Chain Bridge Bancorp）, SIVEF（Sivers Semiconductors）, SHAZ（Shaz）, RDW（Redwire Corporation）, QCOM（QUALCOMM Incorporated）, COIN（Coinbase Global, Inc.）, VELO（Velo3D, Inc.）, GOOG（Alphabet Inc.）, AMAT（Applied Materials, Inc.）, AMKR（Amkor Technology, Inc.）, LRCX（Lam Research Corporation）, SNDK（Sandisk Corporation）, MU（Micron Technology, Inc.）, TSLA（Tesla, Inc.）, PLTR（Palantir Technologies Inc.）, IBM（International Business Machines）, FORM（FormFactor, Inc.）, MXL（MaxLinear, Inc）, MRNA（Moderna, Inc.）, BE（Bloom Energy Corporation）</w:t>
      </w:r>
    </w:p>
    <w:p>
      <w:r>
        <w:br w:type="page"/>
      </w:r>
    </w:p>
    <w:p>
      <w:pPr>
        <w:pStyle w:val="Heading2"/>
      </w:pPr>
      <w:r>
        <w:t>六、触发股票 BOLL 图表</w:t>
      </w:r>
    </w:p>
    <w:p>
      <w:pPr>
        <w:pStyle w:val="Heading3"/>
      </w:pPr>
      <w:r>
        <w:t>ASTS - AST SpaceMobile</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ASTS_BOLL.png"/>
                    <pic:cNvPicPr/>
                  </pic:nvPicPr>
                  <pic:blipFill>
                    <a:blip r:embed="rId9"/>
                    <a:stretch>
                      <a:fillRect/>
                    </a:stretch>
                  </pic:blipFill>
                  <pic:spPr>
                    <a:xfrm>
                      <a:off x="0" y="0"/>
                      <a:ext cx="6035040" cy="4054793"/>
                    </a:xfrm>
                    <a:prstGeom prst="rect"/>
                  </pic:spPr>
                </pic:pic>
              </a:graphicData>
            </a:graphic>
          </wp:inline>
        </w:drawing>
      </w:r>
    </w:p>
    <w:p>
      <w:pPr>
        <w:pStyle w:val="Heading3"/>
      </w:pPr>
      <w:r>
        <w:t>AAOI - Applied Optoelectronics</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AAOI_BOLL.png"/>
                    <pic:cNvPicPr/>
                  </pic:nvPicPr>
                  <pic:blipFill>
                    <a:blip r:embed="rId10"/>
                    <a:stretch>
                      <a:fillRect/>
                    </a:stretch>
                  </pic:blipFill>
                  <pic:spPr>
                    <a:xfrm>
                      <a:off x="0" y="0"/>
                      <a:ext cx="6035040" cy="4054793"/>
                    </a:xfrm>
                    <a:prstGeom prst="rect"/>
                  </pic:spPr>
                </pic:pic>
              </a:graphicData>
            </a:graphic>
          </wp:inline>
        </w:drawing>
      </w:r>
    </w:p>
    <w:p>
      <w:pPr>
        <w:pStyle w:val="Heading3"/>
      </w:pPr>
      <w:r>
        <w:t>LUNR - Intuitive Machines</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LUNR_BOLL.png"/>
                    <pic:cNvPicPr/>
                  </pic:nvPicPr>
                  <pic:blipFill>
                    <a:blip r:embed="rId11"/>
                    <a:stretch>
                      <a:fillRect/>
                    </a:stretch>
                  </pic:blipFill>
                  <pic:spPr>
                    <a:xfrm>
                      <a:off x="0" y="0"/>
                      <a:ext cx="6035040" cy="4054793"/>
                    </a:xfrm>
                    <a:prstGeom prst="rect"/>
                  </pic:spPr>
                </pic:pic>
              </a:graphicData>
            </a:graphic>
          </wp:inline>
        </w:drawing>
      </w:r>
    </w:p>
    <w:p>
      <w:pPr>
        <w:pStyle w:val="Heading3"/>
      </w:pPr>
      <w:r>
        <w:t>NBIS - Nebius Group</w:t>
      </w:r>
    </w:p>
    <w:p>
      <w:r>
        <w:drawing>
          <wp:inline xmlns:a="http://schemas.openxmlformats.org/drawingml/2006/main" xmlns:pic="http://schemas.openxmlformats.org/drawingml/2006/picture">
            <wp:extent cx="6035040" cy="4054793"/>
            <wp:docPr id="4" name="Picture 4"/>
            <wp:cNvGraphicFramePr>
              <a:graphicFrameLocks noChangeAspect="1"/>
            </wp:cNvGraphicFramePr>
            <a:graphic>
              <a:graphicData uri="http://schemas.openxmlformats.org/drawingml/2006/picture">
                <pic:pic>
                  <pic:nvPicPr>
                    <pic:cNvPr id="0" name="NBIS_BOLL.png"/>
                    <pic:cNvPicPr/>
                  </pic:nvPicPr>
                  <pic:blipFill>
                    <a:blip r:embed="rId12"/>
                    <a:stretch>
                      <a:fillRect/>
                    </a:stretch>
                  </pic:blipFill>
                  <pic:spPr>
                    <a:xfrm>
                      <a:off x="0" y="0"/>
                      <a:ext cx="6035040" cy="4054793"/>
                    </a:xfrm>
                    <a:prstGeom prst="rect"/>
                  </pic:spPr>
                </pic:pic>
              </a:graphicData>
            </a:graphic>
          </wp:inline>
        </w:drawing>
      </w:r>
    </w:p>
    <w:p>
      <w:pPr>
        <w:pStyle w:val="Heading3"/>
      </w:pPr>
      <w:r>
        <w:t>FLY - Firefly Aerospace</w:t>
      </w:r>
    </w:p>
    <w:p>
      <w:r>
        <w:drawing>
          <wp:inline xmlns:a="http://schemas.openxmlformats.org/drawingml/2006/main" xmlns:pic="http://schemas.openxmlformats.org/drawingml/2006/picture">
            <wp:extent cx="6035040" cy="4054793"/>
            <wp:docPr id="5" name="Picture 5"/>
            <wp:cNvGraphicFramePr>
              <a:graphicFrameLocks noChangeAspect="1"/>
            </wp:cNvGraphicFramePr>
            <a:graphic>
              <a:graphicData uri="http://schemas.openxmlformats.org/drawingml/2006/picture">
                <pic:pic>
                  <pic:nvPicPr>
                    <pic:cNvPr id="0" name="FLY_BOLL.png"/>
                    <pic:cNvPicPr/>
                  </pic:nvPicPr>
                  <pic:blipFill>
                    <a:blip r:embed="rId13"/>
                    <a:stretch>
                      <a:fillRect/>
                    </a:stretch>
                  </pic:blipFill>
                  <pic:spPr>
                    <a:xfrm>
                      <a:off x="0" y="0"/>
                      <a:ext cx="6035040" cy="4054793"/>
                    </a:xfrm>
                    <a:prstGeom prst="rect"/>
                  </pic:spPr>
                </pic:pic>
              </a:graphicData>
            </a:graphic>
          </wp:inline>
        </w:drawing>
      </w:r>
    </w:p>
    <w:p>
      <w:pPr>
        <w:pStyle w:val="Heading3"/>
      </w:pPr>
      <w:r>
        <w:t>AVGO - Broadcom Inc.</w:t>
      </w:r>
    </w:p>
    <w:p>
      <w:r>
        <w:drawing>
          <wp:inline xmlns:a="http://schemas.openxmlformats.org/drawingml/2006/main" xmlns:pic="http://schemas.openxmlformats.org/drawingml/2006/picture">
            <wp:extent cx="6035040" cy="4054793"/>
            <wp:docPr id="6" name="Picture 6"/>
            <wp:cNvGraphicFramePr>
              <a:graphicFrameLocks noChangeAspect="1"/>
            </wp:cNvGraphicFramePr>
            <a:graphic>
              <a:graphicData uri="http://schemas.openxmlformats.org/drawingml/2006/picture">
                <pic:pic>
                  <pic:nvPicPr>
                    <pic:cNvPr id="0" name="AVGO_BOLL.png"/>
                    <pic:cNvPicPr/>
                  </pic:nvPicPr>
                  <pic:blipFill>
                    <a:blip r:embed="rId14"/>
                    <a:stretch>
                      <a:fillRect/>
                    </a:stretch>
                  </pic:blipFill>
                  <pic:spPr>
                    <a:xfrm>
                      <a:off x="0" y="0"/>
                      <a:ext cx="6035040" cy="4054793"/>
                    </a:xfrm>
                    <a:prstGeom prst="rect"/>
                  </pic:spPr>
                </pic:pic>
              </a:graphicData>
            </a:graphic>
          </wp:inline>
        </w:drawing>
      </w:r>
    </w:p>
    <w:p>
      <w:pPr>
        <w:pStyle w:val="Heading3"/>
      </w:pPr>
      <w:r>
        <w:t>OPTX - Syntec Optics Holdings</w:t>
      </w:r>
    </w:p>
    <w:p>
      <w:r>
        <w:drawing>
          <wp:inline xmlns:a="http://schemas.openxmlformats.org/drawingml/2006/main" xmlns:pic="http://schemas.openxmlformats.org/drawingml/2006/picture">
            <wp:extent cx="6035040" cy="4054793"/>
            <wp:docPr id="7" name="Picture 7"/>
            <wp:cNvGraphicFramePr>
              <a:graphicFrameLocks noChangeAspect="1"/>
            </wp:cNvGraphicFramePr>
            <a:graphic>
              <a:graphicData uri="http://schemas.openxmlformats.org/drawingml/2006/picture">
                <pic:pic>
                  <pic:nvPicPr>
                    <pic:cNvPr id="0" name="OPTX_BOLL.png"/>
                    <pic:cNvPicPr/>
                  </pic:nvPicPr>
                  <pic:blipFill>
                    <a:blip r:embed="rId15"/>
                    <a:stretch>
                      <a:fillRect/>
                    </a:stretch>
                  </pic:blipFill>
                  <pic:spPr>
                    <a:xfrm>
                      <a:off x="0" y="0"/>
                      <a:ext cx="6035040" cy="4054793"/>
                    </a:xfrm>
                    <a:prstGeom prst="rect"/>
                  </pic:spPr>
                </pic:pic>
              </a:graphicData>
            </a:graphic>
          </wp:inline>
        </w:drawing>
      </w:r>
    </w:p>
    <w:p>
      <w:pPr>
        <w:pStyle w:val="Heading3"/>
      </w:pPr>
      <w:r>
        <w:t>SPCX - Space Exploration Technologies</w:t>
      </w:r>
    </w:p>
    <w:p>
      <w:r>
        <w:drawing>
          <wp:inline xmlns:a="http://schemas.openxmlformats.org/drawingml/2006/main" xmlns:pic="http://schemas.openxmlformats.org/drawingml/2006/picture">
            <wp:extent cx="6035040" cy="4054793"/>
            <wp:docPr id="8" name="Picture 8"/>
            <wp:cNvGraphicFramePr>
              <a:graphicFrameLocks noChangeAspect="1"/>
            </wp:cNvGraphicFramePr>
            <a:graphic>
              <a:graphicData uri="http://schemas.openxmlformats.org/drawingml/2006/picture">
                <pic:pic>
                  <pic:nvPicPr>
                    <pic:cNvPr id="0" name="SPCX_BOLL.png"/>
                    <pic:cNvPicPr/>
                  </pic:nvPicPr>
                  <pic:blipFill>
                    <a:blip r:embed="rId16"/>
                    <a:stretch>
                      <a:fillRect/>
                    </a:stretch>
                  </pic:blipFill>
                  <pic:spPr>
                    <a:xfrm>
                      <a:off x="0" y="0"/>
                      <a:ext cx="6035040" cy="4054793"/>
                    </a:xfrm>
                    <a:prstGeom prst="rect"/>
                  </pic:spPr>
                </pic:pic>
              </a:graphicData>
            </a:graphic>
          </wp:inline>
        </w:drawing>
      </w:r>
    </w:p>
    <w:p>
      <w:pPr>
        <w:pStyle w:val="Heading3"/>
      </w:pPr>
      <w:r>
        <w:t>POET - POET Technologies</w:t>
      </w:r>
    </w:p>
    <w:p>
      <w:r>
        <w:drawing>
          <wp:inline xmlns:a="http://schemas.openxmlformats.org/drawingml/2006/main" xmlns:pic="http://schemas.openxmlformats.org/drawingml/2006/picture">
            <wp:extent cx="6035040" cy="4054793"/>
            <wp:docPr id="9" name="Picture 9"/>
            <wp:cNvGraphicFramePr>
              <a:graphicFrameLocks noChangeAspect="1"/>
            </wp:cNvGraphicFramePr>
            <a:graphic>
              <a:graphicData uri="http://schemas.openxmlformats.org/drawingml/2006/picture">
                <pic:pic>
                  <pic:nvPicPr>
                    <pic:cNvPr id="0" name="POET_BOLL.png"/>
                    <pic:cNvPicPr/>
                  </pic:nvPicPr>
                  <pic:blipFill>
                    <a:blip r:embed="rId17"/>
                    <a:stretch>
                      <a:fillRect/>
                    </a:stretch>
                  </pic:blipFill>
                  <pic:spPr>
                    <a:xfrm>
                      <a:off x="0" y="0"/>
                      <a:ext cx="6035040" cy="4054793"/>
                    </a:xfrm>
                    <a:prstGeom prst="rect"/>
                  </pic:spPr>
                </pic:pic>
              </a:graphicData>
            </a:graphic>
          </wp:inline>
        </w:drawing>
      </w:r>
    </w:p>
    <w:p>
      <w:pPr>
        <w:pStyle w:val="Heading3"/>
      </w:pPr>
      <w:r>
        <w:t>MSFT - Microsoft Corporation</w:t>
      </w:r>
    </w:p>
    <w:p>
      <w:r>
        <w:drawing>
          <wp:inline xmlns:a="http://schemas.openxmlformats.org/drawingml/2006/main" xmlns:pic="http://schemas.openxmlformats.org/drawingml/2006/picture">
            <wp:extent cx="6035040" cy="4054793"/>
            <wp:docPr id="10" name="Picture 10"/>
            <wp:cNvGraphicFramePr>
              <a:graphicFrameLocks noChangeAspect="1"/>
            </wp:cNvGraphicFramePr>
            <a:graphic>
              <a:graphicData uri="http://schemas.openxmlformats.org/drawingml/2006/picture">
                <pic:pic>
                  <pic:nvPicPr>
                    <pic:cNvPr id="0" name="MSFT_BOLL.png"/>
                    <pic:cNvPicPr/>
                  </pic:nvPicPr>
                  <pic:blipFill>
                    <a:blip r:embed="rId18"/>
                    <a:stretch>
                      <a:fillRect/>
                    </a:stretch>
                  </pic:blipFill>
                  <pic:spPr>
                    <a:xfrm>
                      <a:off x="0" y="0"/>
                      <a:ext cx="6035040" cy="4054793"/>
                    </a:xfrm>
                    <a:prstGeom prst="rect"/>
                  </pic:spPr>
                </pic:pic>
              </a:graphicData>
            </a:graphic>
          </wp:inline>
        </w:drawing>
      </w:r>
    </w:p>
    <w:p>
      <w:pPr>
        <w:pStyle w:val="Heading3"/>
      </w:pPr>
      <w:r>
        <w:t>LITE - Lumentum Holdings</w:t>
      </w:r>
    </w:p>
    <w:p>
      <w:r>
        <w:drawing>
          <wp:inline xmlns:a="http://schemas.openxmlformats.org/drawingml/2006/main" xmlns:pic="http://schemas.openxmlformats.org/drawingml/2006/picture">
            <wp:extent cx="6035040" cy="4054793"/>
            <wp:docPr id="11" name="Picture 11"/>
            <wp:cNvGraphicFramePr>
              <a:graphicFrameLocks noChangeAspect="1"/>
            </wp:cNvGraphicFramePr>
            <a:graphic>
              <a:graphicData uri="http://schemas.openxmlformats.org/drawingml/2006/picture">
                <pic:pic>
                  <pic:nvPicPr>
                    <pic:cNvPr id="0" name="LITE_BOLL.png"/>
                    <pic:cNvPicPr/>
                  </pic:nvPicPr>
                  <pic:blipFill>
                    <a:blip r:embed="rId19"/>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