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报告日期：2026-10-06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84.13</w:t>
            </w:r>
          </w:p>
        </w:tc>
        <w:tc>
          <w:tcPr>
            <w:tcW w:type="dxa" w:w="1440"/>
          </w:tcPr>
          <w:p>
            <w:r>
              <w:t>MACD处于零轴下方；RSI多头结构破坏；RSI12跌破50；跌破20日均线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趋势修复/震荡偏强(8)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9.82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63.12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91.72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趋势修复/震荡偏强(6)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22.83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趋势修复/震荡偏强(9)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130.16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15.06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7.41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当前价格：84.13</w:t>
      </w:r>
    </w:p>
    <w:p>
      <w:r>
        <w:t>趋势过滤：上升趋势；上升趋势评分：6</w:t>
      </w:r>
    </w:p>
    <w:p>
      <w:r>
        <w:t>当前状态：趋势转弱</w:t>
      </w:r>
    </w:p>
    <w:p>
      <w:r>
        <w:t>风险评分：总分 8；风险等级：明显下跌风险</w:t>
      </w:r>
    </w:p>
    <w:p>
      <w:r>
        <w:t>技术指标：</w:t>
      </w:r>
    </w:p>
    <w:p>
      <w:pPr>
        <w:pStyle w:val="ListBullet"/>
      </w:pPr>
      <w:r>
        <w:t>MACD状态：DIF位于零轴下方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RSI：RSI6=44.1；RSI12=46.4；RSI24=49.6；RSI空头排列；RSI12跌破50</w:t>
      </w:r>
    </w:p>
    <w:p>
      <w:pPr>
        <w:pStyle w:val="ListBullet"/>
      </w:pPr>
      <w:r>
        <w:t>MA20/50/200：MA20=88.05；MA50=82.19；MA200=86.07；跌破MA20；跌破MA200</w:t>
      </w:r>
    </w:p>
    <w:p>
      <w:pPr>
        <w:pStyle w:val="ListBullet"/>
      </w:pPr>
      <w:r>
        <w:t>成交量变化：Volume/MA20=0.54倍；成交量为20日均量的0.54倍</w:t>
      </w:r>
    </w:p>
    <w:p>
      <w:r>
        <w:t>主要风险来源：</w:t>
      </w:r>
    </w:p>
    <w:p>
      <w:pPr>
        <w:pStyle w:val="ListBullet"/>
      </w:pPr>
      <w:r>
        <w:t>MACD处于零轴下方</w:t>
      </w:r>
    </w:p>
    <w:p>
      <w:pPr>
        <w:pStyle w:val="ListBullet"/>
      </w:pPr>
      <w:r>
        <w:t>RSI多头结构破坏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判断：趋势转弱。DIF位于零轴下方；KDJ暂无明显风险；RSI空头排列；RSI12跌破50。</w:t>
      </w:r>
    </w:p>
    <w:p>
      <w:r>
        <w:t>建议观察位置：当前价格 84.13；MA20 88.05；MA50 82.19；MA200 86.07。若后续有效跌破MA50，趋势进一步恶化的概率上升。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当前价格：9.82</w:t>
      </w:r>
    </w:p>
    <w:p>
      <w:r>
        <w:t>趋势过滤：趋势修复/震荡偏强；上升趋势评分：8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RSI：RSI6=82.7；RSI12=70.4；RSI24=59.4；未进入过热见顶评分</w:t>
      </w:r>
    </w:p>
    <w:p>
      <w:pPr>
        <w:pStyle w:val="ListBullet"/>
      </w:pPr>
      <w:r>
        <w:t>MA20/50/200：MA20=7.60；MA50=7.77；MA200=7.80；收盘价站上MA20；收盘价站上MA50；收盘价站上MA200；MA20斜率向上；MA50斜率向上；近20日收益为正；近60日收益为正</w:t>
      </w:r>
    </w:p>
    <w:p>
      <w:pPr>
        <w:pStyle w:val="ListBullet"/>
      </w:pPr>
      <w:r>
        <w:t>成交量变化：Volume/MA20=1.13倍；成交量为20日均量的1.13倍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9.82；MA20 7.60；MA50 7.77；MA200 7.80。若后续有效跌破MA50，趋势进一步恶化的概率上升。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当前价格：63.12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RSI：RSI6=66.0；RSI12=55.3；RSI24=49.9；未进入过热见顶评分</w:t>
      </w:r>
    </w:p>
    <w:p>
      <w:pPr>
        <w:pStyle w:val="ListBullet"/>
      </w:pPr>
      <w:r>
        <w:t>MA20/50/200：MA20=60.31；MA50=62.84；MA200=81.05；收盘价站上MA20；收盘价站上MA50；MA50斜率向上</w:t>
      </w:r>
    </w:p>
    <w:p>
      <w:pPr>
        <w:pStyle w:val="ListBullet"/>
      </w:pPr>
      <w:r>
        <w:t>成交量变化：Volume/MA20=1.68倍；成交量为20日均量的1.68倍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63.12；MA20 60.31；MA50 62.84；MA200 81.05。若后续有效跌破MA50，趋势进一步恶化的概率上升。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当前价格：91.72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RSI：RSI6=66.1；RSI12=57.5；RSI24=52.6；未进入过热见顶评分</w:t>
      </w:r>
    </w:p>
    <w:p>
      <w:pPr>
        <w:pStyle w:val="ListBullet"/>
      </w:pPr>
      <w:r>
        <w:t>MA20/50/200：MA20=86.69；MA50=87.43；MA200=92.50；收盘价站上MA20；收盘价站上MA50；MA20斜率向上；MA50斜率向上；近60日收益为正</w:t>
      </w:r>
    </w:p>
    <w:p>
      <w:pPr>
        <w:pStyle w:val="ListBullet"/>
      </w:pPr>
      <w:r>
        <w:t>成交量变化：Volume/MA20=1.08倍；成交量为20日均量的1.08倍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91.72；MA20 86.69；MA50 87.43；MA200 92.50。若后续有效跌破MA50，趋势进一步恶化的概率上升。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数据提示：历史数据不足300个交易日，当前仅293个交易日；部分长期均线可能为空。</w:t>
      </w:r>
    </w:p>
    <w:p>
      <w:r>
        <w:t>当前价格：22.83</w:t>
      </w:r>
    </w:p>
    <w:p>
      <w:r>
        <w:t>趋势过滤：趋势修复/震荡偏强；上升趋势评分：6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RSI：RSI6=49.7；RSI12=50.9；RSI24=48.8；未进入过热见顶评分</w:t>
      </w:r>
    </w:p>
    <w:p>
      <w:pPr>
        <w:pStyle w:val="ListBullet"/>
      </w:pPr>
      <w:r>
        <w:t>MA20/50/200：MA20=22.29；MA50=22.82；MA200=27.87；收盘价站上MA20；收盘价站上MA50；MA20斜率向上；MA50斜率向上；近60日收益为正</w:t>
      </w:r>
    </w:p>
    <w:p>
      <w:pPr>
        <w:pStyle w:val="ListBullet"/>
      </w:pPr>
      <w:r>
        <w:t>成交量变化：Volume/MA20=1.22倍；成交量为20日均量的1.22倍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22.83；MA20 22.29；MA50 22.82；MA200 27.87。若后续有效跌破MA50，趋势进一步恶化的概率上升。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当前价格：130.16</w:t>
      </w:r>
    </w:p>
    <w:p>
      <w:r>
        <w:t>趋势过滤：趋势修复/震荡偏强；上升趋势评分：9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RSI：RSI6=85.1；RSI12=69.5；RSI24=56.7；未进入过热见顶评分</w:t>
      </w:r>
    </w:p>
    <w:p>
      <w:pPr>
        <w:pStyle w:val="ListBullet"/>
      </w:pPr>
      <w:r>
        <w:t>MA20/50/200：MA20=104.91；MA50=112.22；MA200=109.77；收盘价站上MA20；收盘价站上MA50；收盘价站上MA200；MA50高于MA200；MA20斜率向上；MA50斜率向上；近20日收益为正；近60日收益为正</w:t>
      </w:r>
    </w:p>
    <w:p>
      <w:pPr>
        <w:pStyle w:val="ListBullet"/>
      </w:pPr>
      <w:r>
        <w:t>成交量变化：Volume/MA20=1.63倍；成交量为20日均量的1.63倍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130.16；MA20 104.91；MA50 112.22；MA200 109.77。若后续有效跌破MA50，趋势进一步恶化的概率上升。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当前价格：15.06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RSI：RSI6=55.5；RSI12=50.6；RSI24=47.4；未进入过热见顶评分</w:t>
      </w:r>
    </w:p>
    <w:p>
      <w:pPr>
        <w:pStyle w:val="ListBullet"/>
      </w:pPr>
      <w:r>
        <w:t>MA20/50/200：MA20=14.74；MA50=15.34；MA200=20.26；收盘价站上MA20；MA50斜率向上</w:t>
      </w:r>
    </w:p>
    <w:p>
      <w:pPr>
        <w:pStyle w:val="ListBullet"/>
      </w:pPr>
      <w:r>
        <w:t>成交量变化：Volume/MA20=1.48倍；成交量为20日均量的1.48倍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15.06；MA20 14.74；MA50 15.34；MA200 20.26。若后续有效跌破MA50，趋势进一步恶化的概率上升。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当前价格：7.41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RSI：RSI6=50.4；RSI12=46.8；RSI24=46.2；未进入过热见顶评分</w:t>
      </w:r>
    </w:p>
    <w:p>
      <w:pPr>
        <w:pStyle w:val="ListBullet"/>
      </w:pPr>
      <w:r>
        <w:t>MA20/50/200：MA20=7.38；MA50=7.98；MA200=9.44；收盘价站上MA20；MA50斜率向上；近60日收益为正</w:t>
      </w:r>
    </w:p>
    <w:p>
      <w:pPr>
        <w:pStyle w:val="ListBullet"/>
      </w:pPr>
      <w:r>
        <w:t>成交量变化：Volume/MA20=0.80倍；成交量为20日均量的0.80倍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7.41；MA20 7.38；MA50 7.98；MA200 9.44。若后续有效跌破MA50，趋势进一步恶化的概率上升。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