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报告日期：2026-10-06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高位反弹衰竭风险</w:t>
            </w:r>
          </w:p>
        </w:tc>
        <w:tc>
          <w:tcPr>
            <w:tcW w:type="dxa" w:w="1234"/>
          </w:tcPr>
          <w:p>
            <w:r>
              <w:t>9.82</w:t>
            </w:r>
          </w:p>
        </w:tc>
        <w:tc>
          <w:tcPr>
            <w:tcW w:type="dxa" w:w="1234"/>
          </w:tcPr>
          <w:p>
            <w:r>
              <w:t>偏离MA20超过15%；RSI6大于75；RSI12大于65；J线大于100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高位反弹衰竭风险</w:t>
            </w:r>
          </w:p>
        </w:tc>
        <w:tc>
          <w:tcPr>
            <w:tcW w:type="dxa" w:w="1234"/>
          </w:tcPr>
          <w:p>
            <w:r>
              <w:t>130.16</w:t>
            </w:r>
          </w:p>
        </w:tc>
        <w:tc>
          <w:tcPr>
            <w:tcW w:type="dxa" w:w="1234"/>
          </w:tcPr>
          <w:p>
            <w:r>
              <w:t>偏离MA20超过15%；RSI6大于85；RSI12大于65；J线大于100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91.72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63.12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15.06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22.83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84.13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7.41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当前价格：9.82</w:t>
      </w:r>
    </w:p>
    <w:p>
      <w:r>
        <w:t>短线状态：短线反弹确认；反弹确认分：7</w:t>
      </w:r>
    </w:p>
    <w:p>
      <w:r>
        <w:t>短线风险分：9；风险等级：高位反弹衰竭风险</w:t>
      </w:r>
    </w:p>
    <w:p>
      <w:r>
        <w:t>指标摘要：RSI6/RSI12=82.7/70.4；K/D/J=83.5/72.1/106.4；偏离MA20=29.17%；近5日涨幅=32.52%；量能=1.13倍。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近5日涨幅超过25%</w:t>
      </w:r>
    </w:p>
    <w:p>
      <w:pPr>
        <w:pStyle w:val="ListBullet"/>
      </w:pPr>
      <w:r>
        <w:t>放量冲高后缩量</w:t>
      </w:r>
    </w:p>
    <w:p>
      <w:r>
        <w:t>建议观察位置：当前价格 9.82；MA5 9.02；MA10 8.19；MA20 7.60。若跌破MA5，短线反弹降温；若跌破MA20，反弹结构可能明显转弱。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当前价格：130.16</w:t>
      </w:r>
    </w:p>
    <w:p>
      <w:r>
        <w:t>短线状态：短线反弹确认；反弹确认分：7</w:t>
      </w:r>
    </w:p>
    <w:p>
      <w:r>
        <w:t>短线风险分：9；风险等级：高位反弹衰竭风险</w:t>
      </w:r>
    </w:p>
    <w:p>
      <w:r>
        <w:t>指标摘要：RSI6/RSI12=85.1/69.5；K/D/J=83.1/67.0/115.2；偏离MA20=24.07%；近5日涨幅=29.29%；量能=1.63倍。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RSI6大于85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近5日涨幅超过25%</w:t>
      </w:r>
    </w:p>
    <w:p>
      <w:r>
        <w:t>建议观察位置：当前价格 130.16；MA5 114.78；MA10 107.49；MA20 104.91。若跌破MA5，短线反弹降温；若跌破MA20，反弹结构可能明显转弱。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当前价格：91.72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指标摘要：RSI6/RSI12=66.1/57.5；K/D/J=66.9/63.0/74.7；偏离MA20=5.80%；近5日涨幅=6.74%；量能=1.08倍。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91.72；MA5 88.88；MA10 88.00；MA20 86.69。若跌破MA5，短线反弹降温；若跌破MA20，反弹结构可能明显转弱。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当前价格：63.12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指标摘要：RSI6/RSI12=66.0/55.3；K/D/J=42.7/33.2/61.9；偏离MA20=4.66%；近5日涨幅=6.26%；量能=1.68倍。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63.12；MA5 59.18；MA10 59.92；MA20 60.31。若跌破MA5，短线反弹降温；若跌破MA20，反弹结构可能明显转弱。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当前价格：15.06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指标摘要：RSI6/RSI12=55.5/50.6；K/D/J=34.4/35.9/31.4；偏离MA20=2.15%；近5日涨幅=3.51%；量能=1.48倍。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15.06；MA5 14.47；MA10 14.86；MA20 14.74。若跌破MA5，短线反弹降温；若跌破MA20，反弹结构可能明显转弱。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当前价格：22.83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指标摘要：RSI6/RSI12=49.7/50.9；K/D/J=40.7/49.0/24.2；偏离MA20=2.40%；近5日涨幅=-0.13%；量能=1.22倍。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22.83；MA5 22.95；MA10 23.11；MA20 22.29。若跌破MA5，短线反弹降温；若跌破MA20，反弹结构可能明显转弱。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当前价格：84.13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指标摘要：RSI6/RSI12=44.1/46.4；K/D/J=19.5/22.4/13.9；偏离MA20=-4.45%；近5日涨幅=0.51%；量能=0.54倍。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84.13；MA5 82.75；MA10 85.70；MA20 88.05。若跌破MA5，短线反弹降温；若跌破MA20，反弹结构可能明显转弱。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当前价格：7.41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指标摘要：RSI6/RSI12=50.4/46.8；K/D/J=30.4/32.8/25.8；偏离MA20=0.38%；近5日涨幅=-0.94%；量能=0.80倍。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7.41；MA5 7.30；MA10 7.43；MA20 7.38。若跌破MA5，短线反弹降温；若跌破MA20，反弹结构可能明显转弱。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