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- 2026-10-20</w:t>
      </w:r>
    </w:p>
    <w:p>
      <w:pPr>
        <w:pStyle w:val="ListBullet"/>
      </w:pPr>
      <w:r>
        <w:t>生成时间（美东）：2026-10-20 21:40:48 EDT</w:t>
      </w:r>
    </w:p>
    <w:p>
      <w:pPr>
        <w:pStyle w:val="ListBullet"/>
      </w:pPr>
      <w:r>
        <w:t>最新可用交易日：2026-10-20</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IBM</w:t>
            </w:r>
          </w:p>
        </w:tc>
        <w:tc>
          <w:tcPr>
            <w:tcW w:type="dxa" w:w="960"/>
          </w:tcPr>
          <w:p>
            <w:r>
              <w:t>International Business Machines</w:t>
            </w:r>
          </w:p>
        </w:tc>
        <w:tc>
          <w:tcPr>
            <w:tcW w:type="dxa" w:w="960"/>
          </w:tcPr>
          <w:p>
            <w:r>
              <w:t>C 观察信号</w:t>
            </w:r>
          </w:p>
        </w:tc>
        <w:tc>
          <w:tcPr>
            <w:tcW w:type="dxa" w:w="960"/>
          </w:tcPr>
          <w:p>
            <w:r>
              <w:t>突破上轨但量能不足-弱；低位形态</w:t>
            </w:r>
          </w:p>
        </w:tc>
        <w:tc>
          <w:tcPr>
            <w:tcW w:type="dxa" w:w="960"/>
          </w:tcPr>
          <w:p>
            <w:r>
              <w:t>突破上轨</w:t>
            </w:r>
          </w:p>
        </w:tc>
        <w:tc>
          <w:tcPr>
            <w:tcW w:type="dxa" w:w="960"/>
          </w:tcPr>
          <w:p>
            <w:r>
              <w:t>10.44%</w:t>
            </w:r>
          </w:p>
        </w:tc>
        <w:tc>
          <w:tcPr>
            <w:tcW w:type="dxa" w:w="960"/>
          </w:tcPr>
          <w:p>
            <w:r>
              <w:t>1.126</w:t>
            </w:r>
          </w:p>
        </w:tc>
        <w:tc>
          <w:tcPr>
            <w:tcW w:type="dxa" w:w="960"/>
          </w:tcPr>
          <w:p>
            <w:r>
              <w:t>1.10</w:t>
            </w:r>
          </w:p>
        </w:tc>
        <w:tc>
          <w:tcPr>
            <w:tcW w:type="dxa" w:w="960"/>
          </w:tcPr>
          <w:p>
            <w:r>
              <w:t>股价突破布林线上轨，但成交量确认不足，可能是假突破，需要下一交易日确认。</w:t>
            </w:r>
          </w:p>
        </w:tc>
      </w:tr>
      <w:tr>
        <w:tc>
          <w:tcPr>
            <w:tcW w:type="dxa" w:w="960"/>
          </w:tcPr>
          <w:p>
            <w:r>
              <w:t>MRNA</w:t>
            </w:r>
          </w:p>
        </w:tc>
        <w:tc>
          <w:tcPr>
            <w:tcW w:type="dxa" w:w="960"/>
          </w:tcPr>
          <w:p>
            <w:r>
              <w:t>Moderna,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32.97%</w:t>
            </w:r>
          </w:p>
        </w:tc>
        <w:tc>
          <w:tcPr>
            <w:tcW w:type="dxa" w:w="960"/>
          </w:tcPr>
          <w:p>
            <w:r>
              <w:t>1.017</w:t>
            </w:r>
          </w:p>
        </w:tc>
        <w:tc>
          <w:tcPr>
            <w:tcW w:type="dxa" w:w="960"/>
          </w:tcPr>
          <w:p>
            <w:r>
              <w:t>0.94</w:t>
            </w:r>
          </w:p>
        </w:tc>
        <w:tc>
          <w:tcPr>
            <w:tcW w:type="dxa" w:w="960"/>
          </w:tcPr>
          <w:p>
            <w:r>
              <w:t>股价突破布林线上轨，但成交量确认不足，可能是假突破，需要下一交易日确认。</w:t>
            </w:r>
          </w:p>
        </w:tc>
      </w:tr>
      <w:tr>
        <w:tc>
          <w:tcPr>
            <w:tcW w:type="dxa" w:w="960"/>
          </w:tcPr>
          <w:p>
            <w:r>
              <w:t>TSLA</w:t>
            </w:r>
          </w:p>
        </w:tc>
        <w:tc>
          <w:tcPr>
            <w:tcW w:type="dxa" w:w="960"/>
          </w:tcPr>
          <w:p>
            <w:r>
              <w:t>Tesla, Inc.</w:t>
            </w:r>
          </w:p>
        </w:tc>
        <w:tc>
          <w:tcPr>
            <w:tcW w:type="dxa" w:w="960"/>
          </w:tcPr>
          <w:p>
            <w:r>
              <w:t>C 观察信号</w:t>
            </w:r>
          </w:p>
        </w:tc>
        <w:tc>
          <w:tcPr>
            <w:tcW w:type="dxa" w:w="960"/>
          </w:tcPr>
          <w:p>
            <w:r>
              <w:t>弱收口：Bandwidth连续26天维持低于近8个月30%分位；中轨附近窄幅震荡；低位形态</w:t>
            </w:r>
          </w:p>
        </w:tc>
        <w:tc>
          <w:tcPr>
            <w:tcW w:type="dxa" w:w="960"/>
          </w:tcPr>
          <w:p>
            <w:r>
              <w:t>中轨附近</w:t>
            </w:r>
          </w:p>
        </w:tc>
        <w:tc>
          <w:tcPr>
            <w:tcW w:type="dxa" w:w="960"/>
          </w:tcPr>
          <w:p>
            <w:r>
              <w:t>10.68%</w:t>
            </w:r>
          </w:p>
        </w:tc>
        <w:tc>
          <w:tcPr>
            <w:tcW w:type="dxa" w:w="960"/>
          </w:tcPr>
          <w:p>
            <w:r>
              <w:t>0.601</w:t>
            </w:r>
          </w:p>
        </w:tc>
        <w:tc>
          <w:tcPr>
            <w:tcW w:type="dxa" w:w="960"/>
          </w:tcPr>
          <w:p>
            <w:r>
              <w:t>0.91</w:t>
            </w:r>
          </w:p>
        </w:tc>
        <w:tc>
          <w:tcPr>
            <w:tcW w:type="dxa" w:w="960"/>
          </w:tcPr>
          <w:p>
            <w:r>
              <w:t>布林带收口，说明波动率下降，股价可能处于蓄势阶段，但方向尚未确认。</w:t>
            </w:r>
          </w:p>
        </w:tc>
      </w:tr>
    </w:tbl>
    <w:p>
      <w:pPr>
        <w:pStyle w:val="Heading2"/>
      </w:pPr>
      <w:r>
        <w:t>二、重点结论</w:t>
      </w:r>
    </w:p>
    <w:p>
      <w:pPr>
        <w:pStyle w:val="ListBullet"/>
      </w:pPr>
      <w:r>
        <w:t>强信号：无。</w:t>
      </w:r>
    </w:p>
    <w:p>
      <w:pPr>
        <w:pStyle w:val="ListBullet"/>
      </w:pPr>
      <w:r>
        <w:t>中等信号：无。</w:t>
      </w:r>
    </w:p>
    <w:p>
      <w:pPr>
        <w:pStyle w:val="ListBullet"/>
      </w:pPr>
      <w:r>
        <w:t>观察信号：IBM, MRNA, TSLA。</w:t>
      </w:r>
    </w:p>
    <w:p>
      <w:pPr>
        <w:pStyle w:val="ListBullet"/>
      </w:pPr>
      <w:r>
        <w:t>今日优先复核：IBM, MRNA, TSLA。优先看是否放量、能否站稳上轨或中轨。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IBM - International Business Machines</w:t>
      </w:r>
    </w:p>
    <w:p>
      <w:pPr>
        <w:pStyle w:val="ListBullet"/>
      </w:pPr>
      <w:r>
        <w:t>信号等级：C 观察信号</w:t>
      </w:r>
    </w:p>
    <w:p>
      <w:pPr>
        <w:pStyle w:val="ListBullet"/>
      </w:pPr>
      <w:r>
        <w:t>最新收盘价：$241.92</w:t>
      </w:r>
    </w:p>
    <w:p>
      <w:pPr>
        <w:pStyle w:val="ListBullet"/>
      </w:pPr>
      <w:r>
        <w:t>BOLL：上轨 $238.93；中轨 $227.08；下轨 $215.22</w:t>
      </w:r>
    </w:p>
    <w:p>
      <w:pPr>
        <w:pStyle w:val="ListBullet"/>
      </w:pPr>
      <w:r>
        <w:t>Bandwidth：10.44%；历史分位：30.95%；%B：1.126</w:t>
      </w:r>
    </w:p>
    <w:p>
      <w:pPr>
        <w:pStyle w:val="ListBullet"/>
      </w:pPr>
      <w:r>
        <w:t>成交量：当日 5746300；20日均量 5230355；量比 1.10</w:t>
      </w:r>
    </w:p>
    <w:p>
      <w:pPr>
        <w:pStyle w:val="ListBullet"/>
      </w:pPr>
      <w:r>
        <w:t>触发信号：突破上轨但量能不足-弱；低位形态</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MRNA - Moderna, Inc.</w:t>
      </w:r>
    </w:p>
    <w:p>
      <w:pPr>
        <w:pStyle w:val="ListBullet"/>
      </w:pPr>
      <w:r>
        <w:t>信号等级：C 观察信号</w:t>
      </w:r>
    </w:p>
    <w:p>
      <w:pPr>
        <w:pStyle w:val="ListBullet"/>
      </w:pPr>
      <w:r>
        <w:t>最新收盘价：$242.08</w:t>
      </w:r>
    </w:p>
    <w:p>
      <w:pPr>
        <w:pStyle w:val="ListBullet"/>
      </w:pPr>
      <w:r>
        <w:t>BOLL：上轨 $240.95；中轨 $206.85；下轨 $172.75</w:t>
      </w:r>
    </w:p>
    <w:p>
      <w:pPr>
        <w:pStyle w:val="ListBullet"/>
      </w:pPr>
      <w:r>
        <w:t>Bandwidth：32.97%；历史分位：51.79%；%B：1.017</w:t>
      </w:r>
    </w:p>
    <w:p>
      <w:pPr>
        <w:pStyle w:val="ListBullet"/>
      </w:pPr>
      <w:r>
        <w:t>成交量：当日 16823000；20日均量 17880235；量比 0.94</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TSLA - Tesla, Inc.</w:t>
      </w:r>
    </w:p>
    <w:p>
      <w:pPr>
        <w:pStyle w:val="ListBullet"/>
      </w:pPr>
      <w:r>
        <w:t>信号等级：C 观察信号</w:t>
      </w:r>
    </w:p>
    <w:p>
      <w:pPr>
        <w:pStyle w:val="ListBullet"/>
      </w:pPr>
      <w:r>
        <w:t>最新收盘价：$373.71</w:t>
      </w:r>
    </w:p>
    <w:p>
      <w:pPr>
        <w:pStyle w:val="ListBullet"/>
      </w:pPr>
      <w:r>
        <w:t>BOLL：上轨 $389.46；中轨 $369.71；下轨 $349.97</w:t>
      </w:r>
    </w:p>
    <w:p>
      <w:pPr>
        <w:pStyle w:val="ListBullet"/>
      </w:pPr>
      <w:r>
        <w:t>Bandwidth：10.68%；历史分位：25.60%；%B：0.601</w:t>
      </w:r>
    </w:p>
    <w:p>
      <w:pPr>
        <w:pStyle w:val="ListBullet"/>
      </w:pPr>
      <w:r>
        <w:t>成交量：当日 31662400；20日均量 34755215；量比 0.91</w:t>
      </w:r>
    </w:p>
    <w:p>
      <w:pPr>
        <w:pStyle w:val="ListBullet"/>
      </w:pPr>
      <w:r>
        <w:t>触发信号：弱收口：Bandwidth连续26天维持低于近8个月30%分位；中轨附近窄幅震荡；低位形态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PLTR（Palantir Technologies Inc.）, FORM（FormFactor, Inc.）, MXL（MaxLinear, Inc）, BE（Bloom Energy Corporation）</w:t>
      </w:r>
    </w:p>
    <w:p>
      <w:r>
        <w:br w:type="page"/>
      </w:r>
    </w:p>
    <w:p>
      <w:pPr>
        <w:pStyle w:val="Heading2"/>
      </w:pPr>
      <w:r>
        <w:t>六、触发股票 BOLL 图表</w:t>
      </w:r>
    </w:p>
    <w:p>
      <w:pPr>
        <w:pStyle w:val="Heading3"/>
      </w:pPr>
      <w:r>
        <w:t>IBM - International Business Machines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BM_BOLL.png"/>
                    <pic:cNvPicPr/>
                  </pic:nvPicPr>
                  <pic:blipFill>
                    <a:blip r:embed="rId9"/>
                    <a:stretch>
                      <a:fillRect/>
                    </a:stretch>
                  </pic:blipFill>
                  <pic:spPr>
                    <a:xfrm>
                      <a:off x="0" y="0"/>
                      <a:ext cx="6035040" cy="4054793"/>
                    </a:xfrm>
                    <a:prstGeom prst="rect"/>
                  </pic:spPr>
                </pic:pic>
              </a:graphicData>
            </a:graphic>
          </wp:inline>
        </w:drawing>
      </w:r>
    </w:p>
    <w:p>
      <w:pPr>
        <w:pStyle w:val="Heading3"/>
      </w:pPr>
      <w:r>
        <w:t>MRNA - Moderna,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MRNA_BOLL.png"/>
                    <pic:cNvPicPr/>
                  </pic:nvPicPr>
                  <pic:blipFill>
                    <a:blip r:embed="rId10"/>
                    <a:stretch>
                      <a:fillRect/>
                    </a:stretch>
                  </pic:blipFill>
                  <pic:spPr>
                    <a:xfrm>
                      <a:off x="0" y="0"/>
                      <a:ext cx="6035040" cy="4054793"/>
                    </a:xfrm>
                    <a:prstGeom prst="rect"/>
                  </pic:spPr>
                </pic:pic>
              </a:graphicData>
            </a:graphic>
          </wp:inline>
        </w:drawing>
      </w:r>
    </w:p>
    <w:p>
      <w:pPr>
        <w:pStyle w:val="Heading3"/>
      </w:pPr>
      <w:r>
        <w:t>TSLA - Tesla, Inc.</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TSLA_BOLL.png"/>
                    <pic:cNvPicPr/>
                  </pic:nvPicPr>
                  <pic:blipFill>
                    <a:blip r:embed="rId11"/>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