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报告日期：2026-10-20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85.87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7.06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41.13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62.13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16.31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76.74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10.54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6.10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当前价格：85.87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指标摘要：RSI6/RSI12=56.8/51.9；K/D/J=63.3/52.9/84.3；偏离MA20=1.78%；近5日涨幅=1.90%；量能=0.84倍。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85.87；MA5 83.20；MA10 83.03；MA20 84.36。若跌破MA5，短线反弹降温；若跌破MA20，反弹结构可能明显转弱。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当前价格：7.06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指标摘要：RSI6/RSI12=41.1/43.4；K/D/J=17.4/19.8/12.5；偏离MA20=-9.90%；近5日涨幅=-7.83%；量能=0.50倍。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7.06；MA5 6.81；MA10 7.48；MA20 7.84。若跌破MA5，短线反弹降温；若跌破MA20，反弹结构可能明显转弱。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当前价格：41.13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指标摘要：RSI6/RSI12=25.0/29.4；K/D/J=10.3/13.5/3.9；偏离MA20=-23.58%；近5日涨幅=-12.61%；量能=0.83倍。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41.13；MA5 42.05；MA10 47.73；MA20 53.82。若跌破MA5，短线反弹降温；若跌破MA20，反弹结构可能明显转弱。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当前价格：62.13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指标摘要：RSI6/RSI12=23.0/29.0；K/D/J=13.6/16.8/7.1；偏离MA20=-22.84%；近5日涨幅=-20.15%；量能=2.04倍。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62.13；MA5 64.02；MA10 73.03；MA20 80.52。若跌破MA5，短线反弹降温；若跌破MA20，反弹结构可能明显转弱。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当前价格：16.31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指标摘要：RSI6/RSI12=18.6/27.6；K/D/J=9.1/11.1/5.0；偏离MA20=-21.49%；近5日涨幅=-11.07%；量能=0.61倍。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16.31；MA5 16.91；MA10 18.44；MA20 20.78。若跌破MA5，短线反弹降温；若跌破MA20，反弹结构可能明显转弱。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当前价格：76.74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指标摘要：RSI6/RSI12=24.0/32.6；K/D/J=9.2/16.6/-5.4；偏离MA20=-23.71%；近5日涨幅=-21.52%；量能=0.83倍。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76.74；MA5 80.09；MA10 93.70；MA20 100.59。若跌破MA5，短线反弹降温；若跌破MA20，反弹结构可能明显转弱。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当前价格：10.54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指标摘要：RSI6/RSI12=20.2/28.1；K/D/J=11.6/12.9/9.0；偏离MA20=-21.82%；近5日涨幅=-13.46%；量能=0.72倍。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10.54；MA5 10.93；MA10 12.10；MA20 13.48。若跌破MA5，短线反弹降温；若跌破MA20，反弹结构可能明显转弱。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当前价格：6.10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指标摘要：RSI6/RSI12=26.2/29.8；K/D/J=18.3/16.6/21.8；偏离MA20=-12.33%；近5日涨幅=-9.09%；量能=0.50倍。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6.10；MA5 6.14；MA10 6.48；MA20 6.96。若跌破MA5，短线反弹降温；若跌破MA20，反弹结构可能明显转弱。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