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报告日期：2026-10-14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6.91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42.14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65.78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17.02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86.22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11.02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79.55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当前价格：6.91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RSI：RSI6=26.1；RSI12=39.0；RSI24=44.4；未进入过热见顶评分</w:t>
      </w:r>
    </w:p>
    <w:p>
      <w:pPr>
        <w:pStyle w:val="ListBullet"/>
      </w:pPr>
      <w:r>
        <w:t>MA20/50/200：MA20=7.92；MA50=7.93；MA200=7.98；MA20斜率向上；MA50斜率向上；近20日收益为正</w:t>
      </w:r>
    </w:p>
    <w:p>
      <w:pPr>
        <w:pStyle w:val="ListBullet"/>
      </w:pPr>
      <w:r>
        <w:t>成交量变化：Volume/MA20=0.88倍；成交量为20日均量的0.88倍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6.91；MA20 7.92；MA50 7.93；MA200 7.98。若后续有效跌破MA50，趋势进一步恶化的概率上升。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当前价格：42.14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RSI：RSI6=15.0；RSI12=25.4；RSI24=35.1；未进入过热见顶评分</w:t>
      </w:r>
    </w:p>
    <w:p>
      <w:pPr>
        <w:pStyle w:val="ListBullet"/>
      </w:pPr>
      <w:r>
        <w:t>MA20/50/200：MA20=57.76；MA50=61.80；MA200=80.28；未满足上升趋势过滤条件</w:t>
      </w:r>
    </w:p>
    <w:p>
      <w:pPr>
        <w:pStyle w:val="ListBullet"/>
      </w:pPr>
      <w:r>
        <w:t>成交量变化：Volume/MA20=1.69倍；成交量为20日均量的1.69倍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42.14；MA20 57.76；MA50 61.80；MA200 80.28。若后续有效跌破MA50，趋势进一步恶化的概率上升。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当前价格：65.78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RSI：RSI6=13.5；RSI12=26.4；RSI24=37.3；未进入过热见顶评分</w:t>
      </w:r>
    </w:p>
    <w:p>
      <w:pPr>
        <w:pStyle w:val="ListBullet"/>
      </w:pPr>
      <w:r>
        <w:t>MA20/50/200：MA20=84.47；MA50=87.92；MA200=92.53；MA50斜率向上</w:t>
      </w:r>
    </w:p>
    <w:p>
      <w:pPr>
        <w:pStyle w:val="ListBullet"/>
      </w:pPr>
      <w:r>
        <w:t>成交量变化：Volume/MA20=3.06倍；成交量为20日均量的3.06倍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65.78；MA20 84.47；MA50 87.92；MA200 92.53。若后续有效跌破MA50，趋势进一步恶化的概率上升。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数据提示：历史数据不足300个交易日，当前仅299个交易日；部分长期均线可能为空。</w:t>
      </w:r>
    </w:p>
    <w:p>
      <w:r>
        <w:t>当前价格：17.02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RSI：RSI6=12.1；RSI12=26.4；RSI24=36.5；未进入过热见顶评分</w:t>
      </w:r>
    </w:p>
    <w:p>
      <w:pPr>
        <w:pStyle w:val="ListBullet"/>
      </w:pPr>
      <w:r>
        <w:t>MA20/50/200：MA20=21.84；MA50=22.69；MA200=27.71；MA50斜率向上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17.02；MA20 21.84；MA50 22.69；MA200 27.71。若后续有效跌破MA50，趋势进一步恶化的概率上升。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当前价格：86.22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RSI：RSI6=25.8；RSI12=35.7；RSI24=41.7；未进入过热见顶评分</w:t>
      </w:r>
    </w:p>
    <w:p>
      <w:pPr>
        <w:pStyle w:val="ListBullet"/>
      </w:pPr>
      <w:r>
        <w:t>MA20/50/200：MA20=105.83；MA50=112.86；MA200=111.79；MA50高于MA200；MA20斜率向上；MA50斜率向上</w:t>
      </w:r>
    </w:p>
    <w:p>
      <w:pPr>
        <w:pStyle w:val="ListBullet"/>
      </w:pPr>
      <w:r>
        <w:t>成交量变化：Volume/MA20=1.48倍；成交量为20日均量的1.48倍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86.22；MA20 105.83；MA50 112.86；MA200 111.79。若后续有效跌破MA50，趋势进一步恶化的概率上升。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当前价格：11.02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RSI：RSI6=15.2；RSI12=27.1；RSI24=36.2；未进入过热见顶评分</w:t>
      </w:r>
    </w:p>
    <w:p>
      <w:pPr>
        <w:pStyle w:val="ListBullet"/>
      </w:pPr>
      <w:r>
        <w:t>MA20/50/200：MA20=14.33；MA50=15.38；MA200=20.19；MA50斜率向上</w:t>
      </w:r>
    </w:p>
    <w:p>
      <w:pPr>
        <w:pStyle w:val="ListBullet"/>
      </w:pPr>
      <w:r>
        <w:t>成交量变化：Volume/MA20=1.13倍；成交量为20日均量的1.13倍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11.02；MA20 14.33；MA50 15.38；MA200 20.19。若后续有效跌破MA50，趋势进一步恶化的概率上升。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当前价格：79.55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RSI：RSI6=32.9；RSI12=41.0；RSI24=46.8；未进入过热见顶评分</w:t>
      </w:r>
    </w:p>
    <w:p>
      <w:pPr>
        <w:pStyle w:val="ListBullet"/>
      </w:pPr>
      <w:r>
        <w:t>MA20/50/200：MA20=85.84；MA50=84.55；MA200=86.04；MA20高于MA50；MA50斜率向上；近60日收益为正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79.55；MA20 85.84；MA50 84.55；MA200 86.04。若后续有效跌破MA50，趋势进一步恶化的概率上升。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当前价格：6.14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RSI：RSI6=13.4；RSI12=25.0；RSI24=36.1；未进入过热见顶评分</w:t>
      </w:r>
    </w:p>
    <w:p>
      <w:pPr>
        <w:pStyle w:val="ListBullet"/>
      </w:pPr>
      <w:r>
        <w:t>MA20/50/200：MA20=7.22；MA50=7.84；MA200=9.38；未满足上升趋势过滤条件</w:t>
      </w:r>
    </w:p>
    <w:p>
      <w:pPr>
        <w:pStyle w:val="ListBullet"/>
      </w:pPr>
      <w:r>
        <w:t>成交量变化：Volume/MA20=1.11倍；成交量为20日均量的1.11倍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6.14；MA20 7.22；MA50 7.84；MA200 9.38。若后续有效跌破MA50，趋势进一步恶化的概率上升。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