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报告日期：2026-10-21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7.10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40.90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61.82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17.66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77.32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10.91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趋势修复/震荡偏强(7)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89.71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6.27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当前价格：7.10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RSI：RSI6=42.4；RSI12=43.9；RSI24=46.1；未进入过热见顶评分</w:t>
      </w:r>
    </w:p>
    <w:p>
      <w:pPr>
        <w:pStyle w:val="ListBullet"/>
      </w:pPr>
      <w:r>
        <w:t>MA20/50/200：MA20=7.81；MA50=7.83；MA200=8.07；MA20斜率向上；近60日收益为正</w:t>
      </w:r>
    </w:p>
    <w:p>
      <w:pPr>
        <w:pStyle w:val="ListBullet"/>
      </w:pPr>
      <w:r>
        <w:t>成交量变化：Volume/MA20=0.56倍；成交量为20日均量的0.56倍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7.10；MA20 7.81；MA50 7.83；MA200 8.07。若后续有效跌破MA50，趋势进一步恶化的概率上升。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当前价格：40.90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RSI：RSI6=24.6；RSI12=29.1；RSI24=35.9；未进入过热见顶评分</w:t>
      </w:r>
    </w:p>
    <w:p>
      <w:pPr>
        <w:pStyle w:val="ListBullet"/>
      </w:pPr>
      <w:r>
        <w:t>MA20/50/200：MA20=52.87；MA50=59.02；MA200=79.35；未满足上升趋势过滤条件</w:t>
      </w:r>
    </w:p>
    <w:p>
      <w:pPr>
        <w:pStyle w:val="ListBullet"/>
      </w:pPr>
      <w:r>
        <w:t>成交量变化：Volume/MA20=0.60倍；成交量为20日均量的0.60倍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40.90；MA20 52.87；MA50 59.02；MA200 79.35。若后续有效跌破MA50，趋势进一步恶化的概率上升。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当前价格：61.82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RSI：RSI6=22.6；RSI12=28.8；RSI24=36.9；未进入过热见顶评分</w:t>
      </w:r>
    </w:p>
    <w:p>
      <w:pPr>
        <w:pStyle w:val="ListBullet"/>
      </w:pPr>
      <w:r>
        <w:t>MA20/50/200：MA20=79.26；MA50=85.35；MA200=92.23；未满足上升趋势过滤条件</w:t>
      </w:r>
    </w:p>
    <w:p>
      <w:pPr>
        <w:pStyle w:val="ListBullet"/>
      </w:pPr>
      <w:r>
        <w:t>成交量变化：Volume/MA20=1.55倍；成交量为20日均量的1.55倍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61.82；MA20 79.26；MA50 85.35；MA200 92.23。若后续有效跌破MA50，趋势进一步恶化的概率上升。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当前价格：17.66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RSI：RSI6=41.4；RSI12=37.8；RSI24=40.4；未进入过热见顶评分</w:t>
      </w:r>
    </w:p>
    <w:p>
      <w:pPr>
        <w:pStyle w:val="ListBullet"/>
      </w:pPr>
      <w:r>
        <w:t>MA20/50/200：MA20=20.56；MA50=21.88；MA200=27.54；未满足上升趋势过滤条件</w:t>
      </w:r>
    </w:p>
    <w:p>
      <w:pPr>
        <w:pStyle w:val="ListBullet"/>
      </w:pPr>
      <w:r>
        <w:t>成交量变化：Volume/MA20=0.78倍；成交量为20日均量的0.78倍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17.66；MA20 20.56；MA50 21.88；MA200 27.54。若后续有效跌破MA50，趋势进一步恶化的概率上升。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当前价格：77.32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RSI：RSI6=25.6；RSI12=33.2；RSI24=39.7；未进入过热见顶评分</w:t>
      </w:r>
    </w:p>
    <w:p>
      <w:pPr>
        <w:pStyle w:val="ListBullet"/>
      </w:pPr>
      <w:r>
        <w:t>MA20/50/200：MA20=99.41；MA50=107.58；MA200=112.84；未满足上升趋势过滤条件</w:t>
      </w:r>
    </w:p>
    <w:p>
      <w:pPr>
        <w:pStyle w:val="ListBullet"/>
      </w:pPr>
      <w:r>
        <w:t>成交量变化：Volume/MA20=0.71倍；成交量为20日均量的0.71倍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77.32；MA20 99.41；MA50 107.58；MA200 112.84。若后续有效跌破MA50，趋势进一步恶化的概率上升。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当前价格：10.91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RSI：RSI6=30.5；RSI12=32.4；RSI24=37.5；未进入过热见顶评分</w:t>
      </w:r>
    </w:p>
    <w:p>
      <w:pPr>
        <w:pStyle w:val="ListBullet"/>
      </w:pPr>
      <w:r>
        <w:t>MA20/50/200：MA20=13.27；MA50=14.92；MA200=20.04；未满足上升趋势过滤条件</w:t>
      </w:r>
    </w:p>
    <w:p>
      <w:pPr>
        <w:pStyle w:val="ListBullet"/>
      </w:pPr>
      <w:r>
        <w:t>成交量变化：Volume/MA20=0.92倍；成交量为20日均量的0.92倍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10.91；MA20 13.27；MA50 14.92；MA200 20.04。若后续有效跌破MA50，趋势进一步恶化的概率上升。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当前价格：89.71</w:t>
      </w:r>
    </w:p>
    <w:p>
      <w:r>
        <w:t>趋势过滤：趋势修复/震荡偏强；上升趋势评分：7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RSI：RSI6=65.1；RSI12=56.8；RSI24=53.5；未进入过热见顶评分</w:t>
      </w:r>
    </w:p>
    <w:p>
      <w:pPr>
        <w:pStyle w:val="ListBullet"/>
      </w:pPr>
      <w:r>
        <w:t>MA20/50/200：MA20=84.26；MA50=86.44；MA200=86.13；收盘价站上MA20；收盘价站上MA50；收盘价站上MA200；MA50高于MA200；MA50斜率向上；近60日收益为正</w:t>
      </w:r>
    </w:p>
    <w:p>
      <w:pPr>
        <w:pStyle w:val="ListBullet"/>
      </w:pPr>
      <w:r>
        <w:t>成交量变化：Volume/MA20=1.32倍；成交量为20日均量的1.32倍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89.71；MA20 84.26；MA50 86.44；MA200 86.13。若后续有效跌破MA50，趋势进一步恶化的概率上升。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当前价格：6.27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RSI：RSI6=38.8；RSI12=35.5；RSI24=39.3；未进入过热见顶评分</w:t>
      </w:r>
    </w:p>
    <w:p>
      <w:pPr>
        <w:pStyle w:val="ListBullet"/>
      </w:pPr>
      <w:r>
        <w:t>MA20/50/200：MA20=6.90；MA50=7.54；MA200=9.28；未满足上升趋势过滤条件</w:t>
      </w:r>
    </w:p>
    <w:p>
      <w:pPr>
        <w:pStyle w:val="ListBullet"/>
      </w:pPr>
      <w:r>
        <w:t>成交量变化：Volume/MA20=0.79倍；成交量为20日均量的0.79倍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6.27；MA20 6.90；MA50 7.54；MA200 9.28。若后续有效跌破MA50，趋势进一步恶化的概率上升。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