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报告日期：2026-10-21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89.71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7.10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17.66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6.27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10.91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40.90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61.82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77.32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当前价格：89.71</w:t>
      </w:r>
    </w:p>
    <w:p>
      <w:r>
        <w:t>短线状态：短线反弹确认；反弹确认分：7</w:t>
      </w:r>
    </w:p>
    <w:p>
      <w:r>
        <w:t>短线风险分：0；风险等级：短线反弹正常</w:t>
      </w:r>
    </w:p>
    <w:p>
      <w:r>
        <w:t>指标摘要：RSI6/RSI12=65.1/56.8；K/D/J=70.7/58.8/94.5；偏离MA20=6.46%；近5日涨幅=12.77%；量能=1.32倍。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89.71；MA5 85.23；MA10 83.92；MA20 84.26。若跌破MA5，短线反弹降温；若跌破MA20，反弹结构可能明显转弱。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当前价格：7.10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指标摘要：RSI6/RSI12=42.4/43.9；K/D/J=24.4/21.3/30.5；偏离MA20=-9.11%；近5日涨幅=2.75%；量能=0.56倍。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7.10；MA5 6.85；MA10 7.30；MA20 7.81。若跌破MA5，短线反弹降温；若跌破MA20，反弹结构可能明显转弱。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当前价格：17.66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指标摘要：RSI6/RSI12=41.4/37.8；K/D/J=17.2/13.1/25.4；偏离MA20=-14.14%；近5日涨幅=3.73%；量能=0.78倍。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17.66；MA5 17.04；MA10 18.06；MA20 20.56。若跌破MA5，短线反弹降温；若跌破MA20，反弹结构可能明显转弱。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当前价格：6.27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指标摘要：RSI6/RSI12=38.8/35.5；K/D/J=24.5/19.2/35.1；偏离MA20=-9.15%；近5日涨幅=2.12%；量能=0.79倍。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6.27；MA5 6.16；MA10 6.39；MA20 6.90。若跌破MA5，短线反弹降温；若跌破MA20，反弹结构可能明显转弱。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当前价格：10.91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指标摘要：RSI6/RSI12=30.5/32.4；K/D/J=14.4/13.4/16.4；偏离MA20=-17.76%；近5日涨幅=-1.00%；量能=0.92倍。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10.91；MA5 10.91；MA10 11.75；MA20 13.27。若跌破MA5，短线反弹降温；若跌破MA20，反弹结构可能明显转弱。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当前价格：40.90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指标摘要：RSI6/RSI12=24.6/29.1；K/D/J=10.6/12.5/6.7；偏离MA20=-22.64%；近5日涨幅=-2.94%；量能=0.60倍。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40.90；MA5 41.80；MA10 45.76；MA20 52.87。若跌破MA5，短线反弹降温；若跌破MA20，反弹结构可能明显转弱。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当前价格：61.82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指标摘要：RSI6/RSI12=22.6/28.8；K/D/J=14.9/16.2/12.3；偏离MA20=-22.01%；近5日涨幅=-6.02%；量能=1.55倍。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61.82；MA5 63.23；MA10 70.37；MA20 79.26。若跌破MA5，短线反弹降温；若跌破MA20，反弹结构可能明显转弱。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当前价格：77.32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指标摘要：RSI6/RSI12=25.6/33.2；K/D/J=9.4/14.2/-0.2；偏离MA20=-22.22%；近5日涨幅=-10.32%；量能=0.71倍。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77.32；MA5 78.31；MA10 89.18；MA20 99.41。若跌破MA5，短线反弹降温；若跌破MA20，反弹结构可能明显转弱。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