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- 2026-10-12</w:t>
      </w:r>
    </w:p>
    <w:p>
      <w:pPr>
        <w:pStyle w:val="ListBullet"/>
      </w:pPr>
      <w:r>
        <w:t>生成时间（美东）：2026-10-12 23:30:38 EDT</w:t>
      </w:r>
    </w:p>
    <w:p>
      <w:pPr>
        <w:pStyle w:val="ListBullet"/>
      </w:pPr>
      <w:r>
        <w:t>最新可用交易日：2026-10-12</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AAOI</w:t>
            </w:r>
          </w:p>
        </w:tc>
        <w:tc>
          <w:tcPr>
            <w:tcW w:type="dxa" w:w="960"/>
          </w:tcPr>
          <w:p>
            <w:r>
              <w:t>Applied Optoelectronics</w:t>
            </w:r>
          </w:p>
        </w:tc>
        <w:tc>
          <w:tcPr>
            <w:tcW w:type="dxa" w:w="960"/>
          </w:tcPr>
          <w:p>
            <w:r>
              <w:t>C 观察信号</w:t>
            </w:r>
          </w:p>
        </w:tc>
        <w:tc>
          <w:tcPr>
            <w:tcW w:type="dxa" w:w="960"/>
          </w:tcPr>
          <w:p>
            <w:r>
              <w:t>弱收口：Bandwidth连续20天维持低于近8个月30%分位；中轨附近窄幅震荡</w:t>
            </w:r>
          </w:p>
        </w:tc>
        <w:tc>
          <w:tcPr>
            <w:tcW w:type="dxa" w:w="960"/>
          </w:tcPr>
          <w:p>
            <w:r>
              <w:t>中轨附近</w:t>
            </w:r>
          </w:p>
        </w:tc>
        <w:tc>
          <w:tcPr>
            <w:tcW w:type="dxa" w:w="960"/>
          </w:tcPr>
          <w:p>
            <w:r>
              <w:t>35.07%</w:t>
            </w:r>
          </w:p>
        </w:tc>
        <w:tc>
          <w:tcPr>
            <w:tcW w:type="dxa" w:w="960"/>
          </w:tcPr>
          <w:p>
            <w:r>
              <w:t>0.351</w:t>
            </w:r>
          </w:p>
        </w:tc>
        <w:tc>
          <w:tcPr>
            <w:tcW w:type="dxa" w:w="960"/>
          </w:tcPr>
          <w:p>
            <w:r>
              <w:t>1.19</w:t>
            </w:r>
          </w:p>
        </w:tc>
        <w:tc>
          <w:tcPr>
            <w:tcW w:type="dxa" w:w="960"/>
          </w:tcPr>
          <w:p>
            <w:r>
              <w:t>布林带收口，说明波动率下降，股价可能处于蓄势阶段，但方向尚未确认。</w:t>
            </w:r>
          </w:p>
        </w:tc>
      </w:tr>
      <w:tr>
        <w:tc>
          <w:tcPr>
            <w:tcW w:type="dxa" w:w="960"/>
          </w:tcPr>
          <w:p>
            <w:r>
              <w:t>PLTR</w:t>
            </w:r>
          </w:p>
        </w:tc>
        <w:tc>
          <w:tcPr>
            <w:tcW w:type="dxa" w:w="960"/>
          </w:tcPr>
          <w:p>
            <w:r>
              <w:t>Palantir Technologies Inc.</w:t>
            </w:r>
          </w:p>
        </w:tc>
        <w:tc>
          <w:tcPr>
            <w:tcW w:type="dxa" w:w="960"/>
          </w:tcPr>
          <w:p>
            <w:r>
              <w:t>C 观察信号</w:t>
            </w:r>
          </w:p>
        </w:tc>
        <w:tc>
          <w:tcPr>
            <w:tcW w:type="dxa" w:w="960"/>
          </w:tcPr>
          <w:p>
            <w:r>
              <w:t>突破上轨但量能不足-弱；连续2日站上上轨</w:t>
            </w:r>
          </w:p>
        </w:tc>
        <w:tc>
          <w:tcPr>
            <w:tcW w:type="dxa" w:w="960"/>
          </w:tcPr>
          <w:p>
            <w:r>
              <w:t>突破上轨</w:t>
            </w:r>
          </w:p>
        </w:tc>
        <w:tc>
          <w:tcPr>
            <w:tcW w:type="dxa" w:w="960"/>
          </w:tcPr>
          <w:p>
            <w:r>
              <w:t>20.06%</w:t>
            </w:r>
          </w:p>
        </w:tc>
        <w:tc>
          <w:tcPr>
            <w:tcW w:type="dxa" w:w="960"/>
          </w:tcPr>
          <w:p>
            <w:r>
              <w:t>1.034</w:t>
            </w:r>
          </w:p>
        </w:tc>
        <w:tc>
          <w:tcPr>
            <w:tcW w:type="dxa" w:w="960"/>
          </w:tcPr>
          <w:p>
            <w:r>
              <w:t>1.02</w:t>
            </w:r>
          </w:p>
        </w:tc>
        <w:tc>
          <w:tcPr>
            <w:tcW w:type="dxa" w:w="960"/>
          </w:tcPr>
          <w:p>
            <w:r>
              <w:t>股价突破布林线上轨，但成交量确认不足，可能是假突破，需要下一交易日确认。</w:t>
            </w:r>
          </w:p>
        </w:tc>
      </w:tr>
      <w:tr>
        <w:tc>
          <w:tcPr>
            <w:tcW w:type="dxa" w:w="960"/>
          </w:tcPr>
          <w:p>
            <w:r>
              <w:t>MSFT</w:t>
            </w:r>
          </w:p>
        </w:tc>
        <w:tc>
          <w:tcPr>
            <w:tcW w:type="dxa" w:w="960"/>
          </w:tcPr>
          <w:p>
            <w:r>
              <w:t>Microsoft Corporation</w:t>
            </w:r>
          </w:p>
        </w:tc>
        <w:tc>
          <w:tcPr>
            <w:tcW w:type="dxa" w:w="960"/>
          </w:tcPr>
          <w:p>
            <w:r>
              <w:t>C 观察信号</w:t>
            </w:r>
          </w:p>
        </w:tc>
        <w:tc>
          <w:tcPr>
            <w:tcW w:type="dxa" w:w="960"/>
          </w:tcPr>
          <w:p>
            <w:r>
              <w:t>突破上轨但量能不足-弱</w:t>
            </w:r>
          </w:p>
        </w:tc>
        <w:tc>
          <w:tcPr>
            <w:tcW w:type="dxa" w:w="960"/>
          </w:tcPr>
          <w:p>
            <w:r>
              <w:t>突破上轨</w:t>
            </w:r>
          </w:p>
        </w:tc>
        <w:tc>
          <w:tcPr>
            <w:tcW w:type="dxa" w:w="960"/>
          </w:tcPr>
          <w:p>
            <w:r>
              <w:t>11.34%</w:t>
            </w:r>
          </w:p>
        </w:tc>
        <w:tc>
          <w:tcPr>
            <w:tcW w:type="dxa" w:w="960"/>
          </w:tcPr>
          <w:p>
            <w:r>
              <w:t>1.004</w:t>
            </w:r>
          </w:p>
        </w:tc>
        <w:tc>
          <w:tcPr>
            <w:tcW w:type="dxa" w:w="960"/>
          </w:tcPr>
          <w:p>
            <w:r>
              <w:t>0.83</w:t>
            </w:r>
          </w:p>
        </w:tc>
        <w:tc>
          <w:tcPr>
            <w:tcW w:type="dxa" w:w="960"/>
          </w:tcPr>
          <w:p>
            <w:r>
              <w:t>股价突破布林线上轨，但成交量确认不足，可能是假突破，需要下一交易日确认。</w:t>
            </w:r>
          </w:p>
        </w:tc>
      </w:tr>
    </w:tbl>
    <w:p>
      <w:pPr>
        <w:pStyle w:val="Heading2"/>
      </w:pPr>
      <w:r>
        <w:t>二、重点结论</w:t>
      </w:r>
    </w:p>
    <w:p>
      <w:pPr>
        <w:pStyle w:val="ListBullet"/>
      </w:pPr>
      <w:r>
        <w:t>强信号：无。</w:t>
      </w:r>
    </w:p>
    <w:p>
      <w:pPr>
        <w:pStyle w:val="ListBullet"/>
      </w:pPr>
      <w:r>
        <w:t>中等信号：无。</w:t>
      </w:r>
    </w:p>
    <w:p>
      <w:pPr>
        <w:pStyle w:val="ListBullet"/>
      </w:pPr>
      <w:r>
        <w:t>观察信号：AAOI, PLTR, MSFT。</w:t>
      </w:r>
    </w:p>
    <w:p>
      <w:pPr>
        <w:pStyle w:val="ListBullet"/>
      </w:pPr>
      <w:r>
        <w:t>今日优先复核：AAOI, PLTR, MSFT。优先看是否放量、能否站稳上轨或中轨。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AAOI - Applied Optoelectronics</w:t>
      </w:r>
    </w:p>
    <w:p>
      <w:pPr>
        <w:pStyle w:val="ListBullet"/>
      </w:pPr>
      <w:r>
        <w:t>信号等级：C 观察信号</w:t>
      </w:r>
    </w:p>
    <w:p>
      <w:pPr>
        <w:pStyle w:val="ListBullet"/>
      </w:pPr>
      <w:r>
        <w:t>最新收盘价：$100.68</w:t>
      </w:r>
    </w:p>
    <w:p>
      <w:pPr>
        <w:pStyle w:val="ListBullet"/>
      </w:pPr>
      <w:r>
        <w:t>BOLL：上轨 $124.85；中轨 $106.23；下轨 $87.60</w:t>
      </w:r>
    </w:p>
    <w:p>
      <w:pPr>
        <w:pStyle w:val="ListBullet"/>
      </w:pPr>
      <w:r>
        <w:t>Bandwidth：35.07%；历史分位：17.86%；%B：0.351</w:t>
      </w:r>
    </w:p>
    <w:p>
      <w:pPr>
        <w:pStyle w:val="ListBullet"/>
      </w:pPr>
      <w:r>
        <w:t>成交量：当日 10939900；20日均量 9197330；量比 1.19</w:t>
      </w:r>
    </w:p>
    <w:p>
      <w:pPr>
        <w:pStyle w:val="ListBullet"/>
      </w:pPr>
      <w:r>
        <w:t>触发信号：弱收口：Bandwidth连续20天维持低于近8个月30%分位；中轨附近窄幅震荡</w:t>
      </w:r>
    </w:p>
    <w:p>
      <w:pPr>
        <w:pStyle w:val="ListBullet"/>
      </w:pPr>
      <w:r>
        <w:t>技术面解读：布林带收口，说明波动率下降，股价可能处于蓄势阶段，但方向尚未确认。</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3"/>
      </w:pPr>
      <w:r>
        <w:t>PLTR - Palantir Technologies Inc.</w:t>
      </w:r>
    </w:p>
    <w:p>
      <w:pPr>
        <w:pStyle w:val="ListBullet"/>
      </w:pPr>
      <w:r>
        <w:t>信号等级：C 观察信号</w:t>
      </w:r>
    </w:p>
    <w:p>
      <w:pPr>
        <w:pStyle w:val="ListBullet"/>
      </w:pPr>
      <w:r>
        <w:t>最新收盘价：$209.00</w:t>
      </w:r>
    </w:p>
    <w:p>
      <w:pPr>
        <w:pStyle w:val="ListBullet"/>
      </w:pPr>
      <w:r>
        <w:t>BOLL：上轨 $207.72；中轨 $188.78；下轨 $169.84</w:t>
      </w:r>
    </w:p>
    <w:p>
      <w:pPr>
        <w:pStyle w:val="ListBullet"/>
      </w:pPr>
      <w:r>
        <w:t>Bandwidth：20.06%；历史分位：45.83%；%B：1.034</w:t>
      </w:r>
    </w:p>
    <w:p>
      <w:pPr>
        <w:pStyle w:val="ListBullet"/>
      </w:pPr>
      <w:r>
        <w:t>成交量：当日 24259200；20日均量 23835645；量比 1.02</w:t>
      </w:r>
    </w:p>
    <w:p>
      <w:pPr>
        <w:pStyle w:val="ListBullet"/>
      </w:pPr>
      <w:r>
        <w:t>触发信号：突破上轨但量能不足-弱；连续2日站上上轨</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w:t>
      </w:r>
    </w:p>
    <w:p>
      <w:pPr>
        <w:pStyle w:val="Heading3"/>
      </w:pPr>
      <w:r>
        <w:t>MSFT - Microsoft Corporation</w:t>
      </w:r>
    </w:p>
    <w:p>
      <w:pPr>
        <w:pStyle w:val="ListBullet"/>
      </w:pPr>
      <w:r>
        <w:t>信号等级：C 观察信号</w:t>
      </w:r>
    </w:p>
    <w:p>
      <w:pPr>
        <w:pStyle w:val="ListBullet"/>
      </w:pPr>
      <w:r>
        <w:t>最新收盘价：$541.15</w:t>
      </w:r>
    </w:p>
    <w:p>
      <w:pPr>
        <w:pStyle w:val="ListBullet"/>
      </w:pPr>
      <w:r>
        <w:t>BOLL：上轨 $540.90；中轨 $511.89；下轨 $482.87</w:t>
      </w:r>
    </w:p>
    <w:p>
      <w:pPr>
        <w:pStyle w:val="ListBullet"/>
      </w:pPr>
      <w:r>
        <w:t>Bandwidth：11.34%；历史分位：42.26%；%B：1.004</w:t>
      </w:r>
    </w:p>
    <w:p>
      <w:pPr>
        <w:pStyle w:val="ListBullet"/>
      </w:pPr>
      <w:r>
        <w:t>成交量：当日 18292000；20日均量 22155390；量比 0.83</w:t>
      </w:r>
    </w:p>
    <w:p>
      <w:pPr>
        <w:pStyle w:val="ListBullet"/>
      </w:pPr>
      <w:r>
        <w:t>触发信号：突破上轨但量能不足-弱</w:t>
      </w:r>
    </w:p>
    <w:p>
      <w:pPr>
        <w:pStyle w:val="ListBullet"/>
      </w:pPr>
      <w:r>
        <w:t>技术面解读：股价突破布林线上轨，但成交量确认不足，可能是假突破，需要下一交易日确认。</w:t>
      </w:r>
    </w:p>
    <w:p>
      <w:pPr>
        <w:pStyle w:val="ListBullet"/>
      </w:pPr>
      <w:r>
        <w:t>是否需要下一交易日确认：是。重点观察收盘价是否继续位于关键轨道一侧，以及成交量是否延续。</w:t>
      </w:r>
    </w:p>
    <w:p>
      <w:pPr>
        <w:pStyle w:val="ListBullet"/>
      </w:pPr>
      <w:r>
        <w:t>风险提示：突破上轨但成交量不足，存在假突破风险。；尚未连续两日站上上轨，需要下一交易日确认。</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CRCL（Circle Internet Group）, FLY（Firefly Aerospace）, CBRS（Chain Bridge Bancorp）, SIVEF（Sivers Semiconductors）, SHAZ（Shaz）, LUNR（Intuitive Machines）, ASTS（AST SpaceMobile）, SPCX（Space Exploration Technologies）, RDW（Redwire Corporation）, QCOM（QUALCOMM Incorporated）, COIN（Coinbase Global, Inc.）, VELO（Velo3D, Inc.）, GOOG（Alphabet Inc.）, AVGO（Broadcom Inc.）, AMAT（Applied Materials, Inc.）, AMKR（Amkor Technology, Inc.）, LRCX（Lam Research Corporation）, SNDK（Sandisk Corporation）, MU（Micron Technology, Inc.）, TSLA（Tesla, Inc.）, IBM（International Business Machines）, FORM（FormFactor, Inc.）, MXL（MaxLinear, Inc）, MRNA（Moderna, Inc.）, BE（Bloom Energy Corporation）</w:t>
      </w:r>
    </w:p>
    <w:p>
      <w:r>
        <w:br w:type="page"/>
      </w:r>
    </w:p>
    <w:p>
      <w:pPr>
        <w:pStyle w:val="Heading2"/>
      </w:pPr>
      <w:r>
        <w:t>六、触发股票 BOLL 图表</w:t>
      </w:r>
    </w:p>
    <w:p>
      <w:pPr>
        <w:pStyle w:val="Heading3"/>
      </w:pPr>
      <w:r>
        <w:t>AAOI - Applied Optoelectronics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AAOI_BOLL.png"/>
                    <pic:cNvPicPr/>
                  </pic:nvPicPr>
                  <pic:blipFill>
                    <a:blip r:embed="rId9"/>
                    <a:stretch>
                      <a:fillRect/>
                    </a:stretch>
                  </pic:blipFill>
                  <pic:spPr>
                    <a:xfrm>
                      <a:off x="0" y="0"/>
                      <a:ext cx="6035040" cy="4054793"/>
                    </a:xfrm>
                    <a:prstGeom prst="rect"/>
                  </pic:spPr>
                </pic:pic>
              </a:graphicData>
            </a:graphic>
          </wp:inline>
        </w:drawing>
      </w:r>
    </w:p>
    <w:p>
      <w:pPr>
        <w:pStyle w:val="Heading3"/>
      </w:pPr>
      <w:r>
        <w:t>PLTR - Palantir Technologies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PLTR_BOLL.png"/>
                    <pic:cNvPicPr/>
                  </pic:nvPicPr>
                  <pic:blipFill>
                    <a:blip r:embed="rId10"/>
                    <a:stretch>
                      <a:fillRect/>
                    </a:stretch>
                  </pic:blipFill>
                  <pic:spPr>
                    <a:xfrm>
                      <a:off x="0" y="0"/>
                      <a:ext cx="6035040" cy="4054793"/>
                    </a:xfrm>
                    <a:prstGeom prst="rect"/>
                  </pic:spPr>
                </pic:pic>
              </a:graphicData>
            </a:graphic>
          </wp:inline>
        </w:drawing>
      </w:r>
    </w:p>
    <w:p>
      <w:pPr>
        <w:pStyle w:val="Heading3"/>
      </w:pPr>
      <w:r>
        <w:t>MSFT - Microsoft Corporation</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MSFT_BOLL.png"/>
                    <pic:cNvPicPr/>
                  </pic:nvPicPr>
                  <pic:blipFill>
                    <a:blip r:embed="rId11"/>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