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- 2026-10-13</w:t>
      </w:r>
    </w:p>
    <w:p>
      <w:pPr>
        <w:pStyle w:val="ListBullet"/>
      </w:pPr>
      <w:r>
        <w:t>生成时间（美东）：2026-10-14 02:29:02 EDT</w:t>
      </w:r>
    </w:p>
    <w:p>
      <w:pPr>
        <w:pStyle w:val="ListBullet"/>
      </w:pPr>
      <w:r>
        <w:t>最新可用交易日：2026-10-13</w:t>
      </w:r>
    </w:p>
    <w:p>
      <w:pPr>
        <w:pStyle w:val="ListBullet"/>
      </w:pPr>
      <w:r>
        <w:t>数据源优先级：Yahoo Chart API -&gt; yfinance（可选备用，无需额外配置）</w:t>
      </w:r>
    </w:p>
    <w:p>
      <w:pPr>
        <w:pStyle w:val="ListBullet"/>
      </w:pPr>
      <w:r>
        <w:t>提醒：当前美东交易日尚未收盘，本次使用最近可用交易日的收盘数据计算。</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p>
      <w:r>
        <w:t>今日未发现符合条件的 BOLL 触发信号。</w:t>
      </w:r>
    </w:p>
    <w:p>
      <w:pPr>
        <w:pStyle w:val="Heading2"/>
      </w:pPr>
      <w:r>
        <w:t>二、重点结论</w:t>
      </w:r>
    </w:p>
    <w:p>
      <w:pPr>
        <w:pStyle w:val="ListBullet"/>
      </w:pPr>
      <w:r>
        <w:t>强信号：无。</w:t>
      </w:r>
    </w:p>
    <w:p>
      <w:pPr>
        <w:pStyle w:val="ListBullet"/>
      </w:pPr>
      <w:r>
        <w:t>中等信号：无。</w:t>
      </w:r>
    </w:p>
    <w:p>
      <w:pPr>
        <w:pStyle w:val="ListBullet"/>
      </w:pPr>
      <w:r>
        <w:t>观察信号：无。</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r>
        <w:t>无触发个股。</w:t>
      </w:r>
    </w:p>
    <w:p>
      <w:pPr>
        <w:pStyle w:val="Heading2"/>
      </w:pPr>
      <w:r>
        <w:t>四、数据异常或无法判断</w:t>
      </w:r>
    </w:p>
    <w:p>
      <w:r>
        <w:t>未发现数据异常或无法判断的股票。</w:t>
      </w:r>
    </w:p>
    <w:p>
      <w:pPr>
        <w:pStyle w:val="Heading2"/>
      </w:pPr>
      <w:r>
        <w:t>五、无明显 BOLL 信号</w:t>
      </w:r>
    </w:p>
    <w:p>
      <w:r>
        <w:t>NOK（Nokia Oyj）, XE（X-energy）, RKLB（Rocket Lab USA）, NBIS（Nebius Group）, ARM（Arm Holdings）, OPTX（Syntec Optics Holdings）, GLW（Corning）, COHR（Coherent）, LITE（Lumentum Holdings）, MRVL（Marvell Technology）, INTC（Intel）, ALAB（Astera Labs）, CRWV（CoreWeave）, ORCL（Oracle）, NVTS（Navitas Semiconductor）, POET（POET Technologies）, DELL（Dell Technologies）, BB（BlackBerry）, ONDS（Ondas Holdings）, SMR（NuScale Power）, OKLO（Oklo）, IONQ（IonQ）, QBTS（D-Wave Quantum）, NVDA（NVIDIA）, AMZN（Amazon.com）, AMD（Advanced Micro Devices）, CRCL（Circle Internet Group）, FLY（Firefly Aerospace）, CBRS（Chain Bridge Bancorp）, SIVEF（Sivers Semiconductors）, SHAZ（Shaz）, LUNR（Intuitive Machines）, ASTS（AST SpaceMobile）, AAOI（Applied Optoelectronics）, SPCX（Space Exploration Technologies）, RDW（Redwire Corporation）, QCOM（QUALCOMM Incorporated）, COIN（Coinbase Global, Inc.）, VELO（Velo3D, Inc.）, MSFT（Microsoft Corporation）, GOOG（Alphabet Inc.）, AVGO（Broadcom Inc.）, AMAT（Applied Materials, Inc.）, AMKR（Amkor Technology, Inc.）, LRCX（Lam Research Corporation）, SNDK（Sandisk Corporation）, MU（Micron Technology, Inc.）, TSLA（Tesla, Inc.）, PLTR（Palantir Technologies Inc.）, IBM（International Business Machines）, FORM（FormFactor, Inc.）, MXL（MaxLinear, Inc）, MRNA（Moderna, Inc.）, BE（Bloom Energy Corporation）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