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报告日期：2026-10-13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84.27</w:t>
            </w:r>
          </w:p>
        </w:tc>
        <w:tc>
          <w:tcPr>
            <w:tcW w:type="dxa" w:w="1234"/>
          </w:tcPr>
          <w:p>
            <w:r>
              <w:t>短线反弹正常，暂无明显过热衰竭信号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7.66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47.06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77.81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18.34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97.78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12.18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6.71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当前价格：84.27</w:t>
      </w:r>
    </w:p>
    <w:p>
      <w:r>
        <w:t>短线状态：短线反弹确认；反弹确认分：5</w:t>
      </w:r>
    </w:p>
    <w:p>
      <w:r>
        <w:t>短线风险分：0；风险等级：短线反弹正常</w:t>
      </w:r>
    </w:p>
    <w:p>
      <w:r>
        <w:t>指标摘要：RSI6/RSI12=51.0/48.2；K/D/J=44.6/33.9/65.9；偏离MA20=-1.88%；近5日涨幅=0.17%；量能=0.48倍。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短线反弹正常，暂无明显过热衰竭信号</w:t>
      </w:r>
    </w:p>
    <w:p>
      <w:r>
        <w:t>建议观察位置：当前价格 84.27；MA5 82.87；MA10 82.81；MA20 85.89。若跌破MA5，短线反弹降温；若跌破MA20，反弹结构可能明显转弱。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当前价格：7.66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指标摘要：RSI6/RSI12=36.2/45.6；K/D/J=28.1/47.6/-11.1；偏离MA20=-2.90%；近5日涨幅=-22.00%；量能=0.43倍。</w:t>
      </w:r>
    </w:p>
    <w:p>
      <w:r>
        <w:t>反弹成立条件：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7.66；MA5 8.15；MA10 8.59；MA20 7.89。若跌破MA5，短线反弹降温；若跌破MA20，反弹结构可能明显转弱。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当前价格：47.06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指标摘要：RSI6/RSI12=20.3/30.0；K/D/J=19.9/28.1/3.4；偏离MA20=-19.71%；近5日涨幅=-25.44%；量能=1.53倍。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47.06；MA5 53.41；MA10 56.30；MA20 58.62。若跌破MA5，短线反弹降温；若跌破MA20，反弹结构可能明显转弱。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当前价格：77.81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指标摘要：RSI6/RSI12=26.2/37.1；K/D/J=19.9/33.6/-7.7；偏离MA20=-8.83%；近5日涨幅=-15.17%；量能=1.10倍。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77.81；MA5 82.04；MA10 85.46；MA20 85.35。若跌破MA5，短线反弹降温；若跌破MA20，反弹结构可能明显转弱。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当前价格：18.34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指标摘要：RSI6/RSI12=16.3/30.4；K/D/J=8.9/19.2/-11.7；偏离MA20=-16.65%；近5日涨幅=-19.67%；量能=0.85倍。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18.34；MA5 19.98；MA10 21.46；MA20 22.00。若跌破MA5，短线反弹降温；若跌破MA20，反弹结构可能明显转弱。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当前价格：97.78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指标摘要：RSI6/RSI12=34.9/42.1；K/D/J=30.1/48.1/-5.9；偏离MA20=-8.06%；近5日涨幅=-24.88%；量能=1.13倍。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97.78；MA5 107.31；MA10 111.04；MA20 106.35。若跌破MA5，短线反弹降温；若跌破MA20，反弹结构可能明显转弱。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当前价格：12.18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指标摘要：RSI6/RSI12=21.6/32.3；K/D/J=9.9/18.0/-6.2；偏离MA20=-15.86%；近5日涨幅=-19.12%；量能=0.71倍。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12.18；MA5 13.27；MA10 13.87；MA20 14.48。若跌破MA5，短线反弹降温；若跌破MA20，反弹结构可能明显转弱。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当前价格：6.71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指标摘要：RSI6/RSI12=25.1/33.4；K/D/J=14.5/17.9/7.7；偏离MA20=-7.80%；近5日涨幅=-9.45%；量能=1.17倍。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6.71；MA5 6.83；MA10 7.07；MA20 7.28。若跌破MA5，短线反弹降温；若跌破MA20，反弹结构可能明显转弱。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