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- 2026-10-12</w:t>
      </w:r>
    </w:p>
    <w:p>
      <w:pPr>
        <w:pStyle w:val="ListBullet"/>
      </w:pPr>
      <w:r>
        <w:t>生成时间（美东）：2026-10-12 23:37:06 EDT</w:t>
      </w:r>
    </w:p>
    <w:p>
      <w:pPr>
        <w:pStyle w:val="ListBullet"/>
      </w:pPr>
      <w:r>
        <w:t>最新可用交易日：2026-10-12</w:t>
      </w:r>
    </w:p>
    <w:p>
      <w:pPr>
        <w:pStyle w:val="ListBullet"/>
      </w:pPr>
      <w:r>
        <w:t>数据源优先级：Yahoo Chart API -&gt; yfinance（可选备用，无需额外配置）</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AAOI</w:t>
            </w:r>
          </w:p>
        </w:tc>
        <w:tc>
          <w:tcPr>
            <w:tcW w:type="dxa" w:w="960"/>
          </w:tcPr>
          <w:p>
            <w:r>
              <w:t>Applied Optoelectronics</w:t>
            </w:r>
          </w:p>
        </w:tc>
        <w:tc>
          <w:tcPr>
            <w:tcW w:type="dxa" w:w="960"/>
          </w:tcPr>
          <w:p>
            <w:r>
              <w:t>C 观察信号</w:t>
            </w:r>
          </w:p>
        </w:tc>
        <w:tc>
          <w:tcPr>
            <w:tcW w:type="dxa" w:w="960"/>
          </w:tcPr>
          <w:p>
            <w:r>
              <w:t>弱收口：Bandwidth连续20天维持低于近8个月30%分位；中轨附近窄幅震荡</w:t>
            </w:r>
          </w:p>
        </w:tc>
        <w:tc>
          <w:tcPr>
            <w:tcW w:type="dxa" w:w="960"/>
          </w:tcPr>
          <w:p>
            <w:r>
              <w:t>中轨附近</w:t>
            </w:r>
          </w:p>
        </w:tc>
        <w:tc>
          <w:tcPr>
            <w:tcW w:type="dxa" w:w="960"/>
          </w:tcPr>
          <w:p>
            <w:r>
              <w:t>35.07%</w:t>
            </w:r>
          </w:p>
        </w:tc>
        <w:tc>
          <w:tcPr>
            <w:tcW w:type="dxa" w:w="960"/>
          </w:tcPr>
          <w:p>
            <w:r>
              <w:t>0.351</w:t>
            </w:r>
          </w:p>
        </w:tc>
        <w:tc>
          <w:tcPr>
            <w:tcW w:type="dxa" w:w="960"/>
          </w:tcPr>
          <w:p>
            <w:r>
              <w:t>1.19</w:t>
            </w:r>
          </w:p>
        </w:tc>
        <w:tc>
          <w:tcPr>
            <w:tcW w:type="dxa" w:w="960"/>
          </w:tcPr>
          <w:p>
            <w:r>
              <w:t>布林带收口，说明波动率下降，股价可能处于蓄势阶段，但方向尚未确认。</w:t>
            </w:r>
          </w:p>
        </w:tc>
      </w:tr>
      <w:tr>
        <w:tc>
          <w:tcPr>
            <w:tcW w:type="dxa" w:w="960"/>
          </w:tcPr>
          <w:p>
            <w:r>
              <w:t>PLTR</w:t>
            </w:r>
          </w:p>
        </w:tc>
        <w:tc>
          <w:tcPr>
            <w:tcW w:type="dxa" w:w="960"/>
          </w:tcPr>
          <w:p>
            <w:r>
              <w:t>Palantir Technologies Inc.</w:t>
            </w:r>
          </w:p>
        </w:tc>
        <w:tc>
          <w:tcPr>
            <w:tcW w:type="dxa" w:w="960"/>
          </w:tcPr>
          <w:p>
            <w:r>
              <w:t>C 观察信号</w:t>
            </w:r>
          </w:p>
        </w:tc>
        <w:tc>
          <w:tcPr>
            <w:tcW w:type="dxa" w:w="960"/>
          </w:tcPr>
          <w:p>
            <w:r>
              <w:t>突破上轨但量能不足-弱；连续2日站上上轨</w:t>
            </w:r>
          </w:p>
        </w:tc>
        <w:tc>
          <w:tcPr>
            <w:tcW w:type="dxa" w:w="960"/>
          </w:tcPr>
          <w:p>
            <w:r>
              <w:t>突破上轨</w:t>
            </w:r>
          </w:p>
        </w:tc>
        <w:tc>
          <w:tcPr>
            <w:tcW w:type="dxa" w:w="960"/>
          </w:tcPr>
          <w:p>
            <w:r>
              <w:t>20.06%</w:t>
            </w:r>
          </w:p>
        </w:tc>
        <w:tc>
          <w:tcPr>
            <w:tcW w:type="dxa" w:w="960"/>
          </w:tcPr>
          <w:p>
            <w:r>
              <w:t>1.034</w:t>
            </w:r>
          </w:p>
        </w:tc>
        <w:tc>
          <w:tcPr>
            <w:tcW w:type="dxa" w:w="960"/>
          </w:tcPr>
          <w:p>
            <w:r>
              <w:t>1.02</w:t>
            </w:r>
          </w:p>
        </w:tc>
        <w:tc>
          <w:tcPr>
            <w:tcW w:type="dxa" w:w="960"/>
          </w:tcPr>
          <w:p>
            <w:r>
              <w:t>股价突破布林线上轨，但成交量确认不足，可能是假突破，需要下一交易日确认。</w:t>
            </w:r>
          </w:p>
        </w:tc>
      </w:tr>
      <w:tr>
        <w:tc>
          <w:tcPr>
            <w:tcW w:type="dxa" w:w="960"/>
          </w:tcPr>
          <w:p>
            <w:r>
              <w:t>MSFT</w:t>
            </w:r>
          </w:p>
        </w:tc>
        <w:tc>
          <w:tcPr>
            <w:tcW w:type="dxa" w:w="960"/>
          </w:tcPr>
          <w:p>
            <w:r>
              <w:t>Microsoft Corporation</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11.34%</w:t>
            </w:r>
          </w:p>
        </w:tc>
        <w:tc>
          <w:tcPr>
            <w:tcW w:type="dxa" w:w="960"/>
          </w:tcPr>
          <w:p>
            <w:r>
              <w:t>1.004</w:t>
            </w:r>
          </w:p>
        </w:tc>
        <w:tc>
          <w:tcPr>
            <w:tcW w:type="dxa" w:w="960"/>
          </w:tcPr>
          <w:p>
            <w:r>
              <w:t>0.83</w:t>
            </w:r>
          </w:p>
        </w:tc>
        <w:tc>
          <w:tcPr>
            <w:tcW w:type="dxa" w:w="960"/>
          </w:tcPr>
          <w:p>
            <w:r>
              <w:t>股价突破布林线上轨，但成交量确认不足，可能是假突破，需要下一交易日确认。</w:t>
            </w:r>
          </w:p>
        </w:tc>
      </w:tr>
    </w:tbl>
    <w:p>
      <w:pPr>
        <w:pStyle w:val="Heading2"/>
      </w:pPr>
      <w:r>
        <w:t>二、重点结论</w:t>
      </w:r>
    </w:p>
    <w:p>
      <w:pPr>
        <w:pStyle w:val="ListBullet"/>
      </w:pPr>
      <w:r>
        <w:t>强信号：无。</w:t>
      </w:r>
    </w:p>
    <w:p>
      <w:pPr>
        <w:pStyle w:val="ListBullet"/>
      </w:pPr>
      <w:r>
        <w:t>中等信号：无。</w:t>
      </w:r>
    </w:p>
    <w:p>
      <w:pPr>
        <w:pStyle w:val="ListBullet"/>
      </w:pPr>
      <w:r>
        <w:t>观察信号：AAOI, PLTR, MSFT。</w:t>
      </w:r>
    </w:p>
    <w:p>
      <w:pPr>
        <w:pStyle w:val="ListBullet"/>
      </w:pPr>
      <w:r>
        <w:t>今日优先复核：AAOI, PLTR, MSFT。优先看是否放量、能否站稳上轨或中轨。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AAOI - Applied Optoelectronics</w:t>
      </w:r>
    </w:p>
    <w:p>
      <w:pPr>
        <w:pStyle w:val="ListBullet"/>
      </w:pPr>
      <w:r>
        <w:t>信号等级：C 观察信号</w:t>
      </w:r>
    </w:p>
    <w:p>
      <w:pPr>
        <w:pStyle w:val="ListBullet"/>
      </w:pPr>
      <w:r>
        <w:t>最新收盘价：$100.68</w:t>
      </w:r>
    </w:p>
    <w:p>
      <w:pPr>
        <w:pStyle w:val="ListBullet"/>
      </w:pPr>
      <w:r>
        <w:t>BOLL：上轨 $124.85；中轨 $106.23；下轨 $87.60</w:t>
      </w:r>
    </w:p>
    <w:p>
      <w:pPr>
        <w:pStyle w:val="ListBullet"/>
      </w:pPr>
      <w:r>
        <w:t>Bandwidth：35.07%；历史分位：17.86%；%B：0.351</w:t>
      </w:r>
    </w:p>
    <w:p>
      <w:pPr>
        <w:pStyle w:val="ListBullet"/>
      </w:pPr>
      <w:r>
        <w:t>成交量：当日 10939900；20日均量 9197330；量比 1.19</w:t>
      </w:r>
    </w:p>
    <w:p>
      <w:pPr>
        <w:pStyle w:val="ListBullet"/>
      </w:pPr>
      <w:r>
        <w:t>触发信号：弱收口：Bandwidth连续20天维持低于近8个月30%分位；中轨附近窄幅震荡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PLTR - Palantir Technologies Inc.</w:t>
      </w:r>
    </w:p>
    <w:p>
      <w:pPr>
        <w:pStyle w:val="ListBullet"/>
      </w:pPr>
      <w:r>
        <w:t>信号等级：C 观察信号</w:t>
      </w:r>
    </w:p>
    <w:p>
      <w:pPr>
        <w:pStyle w:val="ListBullet"/>
      </w:pPr>
      <w:r>
        <w:t>最新收盘价：$209.00</w:t>
      </w:r>
    </w:p>
    <w:p>
      <w:pPr>
        <w:pStyle w:val="ListBullet"/>
      </w:pPr>
      <w:r>
        <w:t>BOLL：上轨 $207.72；中轨 $188.78；下轨 $169.84</w:t>
      </w:r>
    </w:p>
    <w:p>
      <w:pPr>
        <w:pStyle w:val="ListBullet"/>
      </w:pPr>
      <w:r>
        <w:t>Bandwidth：20.06%；历史分位：45.83%；%B：1.034</w:t>
      </w:r>
    </w:p>
    <w:p>
      <w:pPr>
        <w:pStyle w:val="ListBullet"/>
      </w:pPr>
      <w:r>
        <w:t>成交量：当日 24259200；20日均量 23835645；量比 1.02</w:t>
      </w:r>
    </w:p>
    <w:p>
      <w:pPr>
        <w:pStyle w:val="ListBullet"/>
      </w:pPr>
      <w:r>
        <w:t>触发信号：突破上轨但量能不足-弱；连续2日站上上轨</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w:t>
      </w:r>
    </w:p>
    <w:p>
      <w:pPr>
        <w:pStyle w:val="Heading3"/>
      </w:pPr>
      <w:r>
        <w:t>MSFT - Microsoft Corporation</w:t>
      </w:r>
    </w:p>
    <w:p>
      <w:pPr>
        <w:pStyle w:val="ListBullet"/>
      </w:pPr>
      <w:r>
        <w:t>信号等级：C 观察信号</w:t>
      </w:r>
    </w:p>
    <w:p>
      <w:pPr>
        <w:pStyle w:val="ListBullet"/>
      </w:pPr>
      <w:r>
        <w:t>最新收盘价：$541.15</w:t>
      </w:r>
    </w:p>
    <w:p>
      <w:pPr>
        <w:pStyle w:val="ListBullet"/>
      </w:pPr>
      <w:r>
        <w:t>BOLL：上轨 $540.90；中轨 $511.89；下轨 $482.87</w:t>
      </w:r>
    </w:p>
    <w:p>
      <w:pPr>
        <w:pStyle w:val="ListBullet"/>
      </w:pPr>
      <w:r>
        <w:t>Bandwidth：11.34%；历史分位：42.26%；%B：1.004</w:t>
      </w:r>
    </w:p>
    <w:p>
      <w:pPr>
        <w:pStyle w:val="ListBullet"/>
      </w:pPr>
      <w:r>
        <w:t>成交量：当日 18292000；20日均量 22155390；量比 0.83</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2"/>
      </w:pPr>
      <w:r>
        <w:t>四、数据异常或无法判断</w:t>
      </w:r>
    </w:p>
    <w:p>
      <w:r>
        <w:t>未发现数据异常或无法判断的股票。</w:t>
      </w:r>
    </w:p>
    <w:p>
      <w:pPr>
        <w:pStyle w:val="Heading2"/>
      </w:pPr>
      <w:r>
        <w:t>五、无明显 BOLL 信号</w:t>
      </w:r>
    </w:p>
    <w:p>
      <w:r>
        <w:t>NOK（Nokia Oyj）, XE（X-energy）, RKLB（Rocket Lab USA）, NBIS（Nebius Group）, ARM（Arm Holdings）, OPTX（Syntec Optics Holdings）, GLW（Corning）, COHR（Coherent）, LITE（Lumentum Holdings）, MRVL（Marvell Technology）, INTC（Intel）, ALAB（Astera Labs）, CRWV（CoreWeave）, ORCL（Oracle）, NVTS（Navitas Semiconductor）, POET（POET Technologies）, DELL（Dell Technologies）, BB（BlackBerry）, ONDS（Ondas Holdings）, SMR（NuScale Power）, OKLO（Oklo）, IONQ（IonQ）, QBTS（D-Wave Quantum）, NVDA（NVIDIA）, AMZN（Amazon.com）, AMD（Advanced Micro Devices）, CRCL（Circle Internet Group）, FLY（Firefly Aerospace）, CBRS（Chain Bridge Bancorp）, SIVEF（Sivers Semiconductors）, SHAZ（Shaz）, LUNR（Intuitive Machines）, ASTS（AST SpaceMobile）, SPCX（Space Exploration Technologies）, RDW（Redwire Corporation）, QCOM（QUALCOMM Incorporated）, COIN（Coinbase Global, Inc.）, VELO（Velo3D, Inc.）, GOOG（Alphabet Inc.）, AVGO（Broadcom Inc.）, AMAT（Applied Materials, Inc.）, AMKR（Amkor Technology, Inc.）, LRCX（Lam Research Corporation）, SNDK（Sandisk Corporation）, MU（Micron Technology, Inc.）, TSLA（Tesla, Inc.）, IBM（International Business Machines）, FORM（FormFactor, Inc.）, MXL（MaxLinear, Inc）, MRNA（Moderna, Inc.）, BE（Bloom Energy Corporation）</w:t>
      </w:r>
    </w:p>
    <w:p>
      <w:r>
        <w:br w:type="page"/>
      </w:r>
    </w:p>
    <w:p>
      <w:pPr>
        <w:pStyle w:val="Heading2"/>
      </w:pPr>
      <w:r>
        <w:t>六、触发股票 BOLL 图表</w:t>
      </w:r>
    </w:p>
    <w:p>
      <w:pPr>
        <w:pStyle w:val="Heading3"/>
      </w:pPr>
      <w:r>
        <w:t>AAOI - Applied Optoelectronics</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AAOI_BOLL.png"/>
                    <pic:cNvPicPr/>
                  </pic:nvPicPr>
                  <pic:blipFill>
                    <a:blip r:embed="rId9"/>
                    <a:stretch>
                      <a:fillRect/>
                    </a:stretch>
                  </pic:blipFill>
                  <pic:spPr>
                    <a:xfrm>
                      <a:off x="0" y="0"/>
                      <a:ext cx="6035040" cy="4054793"/>
                    </a:xfrm>
                    <a:prstGeom prst="rect"/>
                  </pic:spPr>
                </pic:pic>
              </a:graphicData>
            </a:graphic>
          </wp:inline>
        </w:drawing>
      </w:r>
    </w:p>
    <w:p>
      <w:pPr>
        <w:pStyle w:val="Heading3"/>
      </w:pPr>
      <w:r>
        <w:t>PLTR - Palantir Technologies Inc.</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PLTR_BOLL.png"/>
                    <pic:cNvPicPr/>
                  </pic:nvPicPr>
                  <pic:blipFill>
                    <a:blip r:embed="rId10"/>
                    <a:stretch>
                      <a:fillRect/>
                    </a:stretch>
                  </pic:blipFill>
                  <pic:spPr>
                    <a:xfrm>
                      <a:off x="0" y="0"/>
                      <a:ext cx="6035040" cy="4054793"/>
                    </a:xfrm>
                    <a:prstGeom prst="rect"/>
                  </pic:spPr>
                </pic:pic>
              </a:graphicData>
            </a:graphic>
          </wp:inline>
        </w:drawing>
      </w:r>
    </w:p>
    <w:p>
      <w:pPr>
        <w:pStyle w:val="Heading3"/>
      </w:pPr>
      <w:r>
        <w:t>MSFT - Microsoft Corporation</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MSFT_BOLL.png"/>
                    <pic:cNvPicPr/>
                  </pic:nvPicPr>
                  <pic:blipFill>
                    <a:blip r:embed="rId11"/>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