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报告日期：2026-10-22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86.62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17.52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6.66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38.77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55.60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68.07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10.45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6.02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当前价格：86.62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指标摘要：RSI6/RSI12=54.9/52.2；K/D/J=69.5/62.4/83.8；偏离MA20=3.19%；近5日涨幅=-0.40%；量能=1.18倍。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86.62；MA5 85.16；MA10 84.50；MA20 83.95。若跌破MA5，短线反弹降温；若跌破MA20，反弹结构可能明显转弱。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当前价格：17.52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指标摘要：RSI6/RSI12=40.0/37.2；K/D/J=23.1/16.4/36.5；偏离MA20=-13.63%；近5日涨幅=-1.74%；量能=0.75倍。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17.52；MA5 16.98；MA10 17.74；MA20 20.28。若跌破MA5，短线反弹降温；若跌破MA20，反弹结构可能明显转弱。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当前价格：6.66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指标摘要：RSI6/RSI12=32.8/39.4；K/D/J=22.3/21.7/23.6；偏离MA20=-14.39%；近5日涨幅=-3.90%；量能=0.92倍。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6.66；MA5 6.80；MA10 7.14；MA20 7.78。若跌破MA5，短线反弹降温；若跌破MA20，反弹结构可能明显转弱。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当前价格：38.77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指标摘要：RSI6/RSI12=20.4/26.8；K/D/J=9.0/11.3/4.3；偏离MA20=-25.09%；近5日涨幅=-12.80%；量能=0.99倍。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38.77；MA5 40.67；MA10 43.94；MA20 51.76。若跌破MA5，短线反弹降温；若跌破MA20，反弹结构可能明显转弱。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当前价格：55.60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指标摘要：RSI6/RSI12=16.0/24.3；K/D/J=12.4/14.9/7.5；偏离MA20=-28.29%；近5日涨幅=-20.22%；量能=1.60倍。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55.60；MA5 60.41；MA10 67.77；MA20 77.54。若跌破MA5，短线反弹降温；若跌破MA20，反弹结构可能明显转弱。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当前价格：68.07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指标摘要：RSI6/RSI12=18.2/28.5；K/D/J=7.7/12.0/-0.8；偏离MA20=-30.37%；近5日涨幅=-18.70%；量能=1.24倍。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68.07；MA5 75.18；MA10 85.39；MA20 97.76。若跌破MA5，短线反弹降温；若跌破MA20，反弹结构可能明显转弱。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当前价格：10.45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指标摘要：RSI6/RSI12=25.6/30.0；K/D/J=13.6/13.5/13.9；偏离MA20=-19.63%；近5日涨幅=-9.68%；量能=0.80倍。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10.45；MA5 10.68；MA10 11.42；MA20 13.00。若跌破MA5，短线反弹降温；若跌破MA20，反弹结构可能明显转弱。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当前价格：6.02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指标摘要：RSI6/RSI12=29.8/31.4；K/D/J=22.2/20.2/26.1；偏离MA20=-11.76%；近5日涨幅=-5.20%；量能=0.72倍。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6.02；MA5 6.10；MA10 6.31；MA20 6.82。若跌破MA5，短线反弹降温；若跌破MA20，反弹结构可能明显转弱。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