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报告日期：2026-09-25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短线转弱</w:t>
            </w:r>
          </w:p>
        </w:tc>
        <w:tc>
          <w:tcPr>
            <w:tcW w:type="dxa" w:w="1440"/>
          </w:tcPr>
          <w:p>
            <w:r>
              <w:t>89.00</w:t>
            </w:r>
          </w:p>
        </w:tc>
        <w:tc>
          <w:tcPr>
            <w:tcW w:type="dxa" w:w="1440"/>
          </w:tcPr>
          <w:p>
            <w:r>
              <w:t>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87.59</w:t>
            </w:r>
          </w:p>
        </w:tc>
        <w:tc>
          <w:tcPr>
            <w:tcW w:type="dxa" w:w="1440"/>
          </w:tcPr>
          <w:p>
            <w:r>
              <w:t>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7.40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61.81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24.36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101.40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15.61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当前价格：89.00</w:t>
      </w:r>
    </w:p>
    <w:p>
      <w:r>
        <w:t>趋势过滤：上升趋势；上升趋势评分：8</w:t>
      </w:r>
    </w:p>
    <w:p>
      <w:r>
        <w:t>当前状态：短线调整风险</w:t>
      </w:r>
    </w:p>
    <w:p>
      <w:r>
        <w:t>风险评分：总分 4；风险等级：短线转弱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RSI：RSI6=44.3；RSI12=49.9；RSI24=52.1；RSI空头排列；RSI12跌破50</w:t>
      </w:r>
    </w:p>
    <w:p>
      <w:pPr>
        <w:pStyle w:val="ListBullet"/>
      </w:pPr>
      <w:r>
        <w:t>MA20/50/200：MA20=92.00；MA50=79.59；MA200=86.09；跌破MA20</w:t>
      </w:r>
    </w:p>
    <w:p>
      <w:pPr>
        <w:pStyle w:val="ListBullet"/>
      </w:pPr>
      <w:r>
        <w:t>成交量变化：Volume/MA20=0.71倍；成交量为20日均量的0.71倍</w:t>
      </w:r>
    </w:p>
    <w:p>
      <w:r>
        <w:t>主要风险来源：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r>
        <w:t>判断：短线调整风险。MACD暂无明显转弱；KDJ暂无明显风险；RSI空头排列；RSI12跌破50。</w:t>
      </w:r>
    </w:p>
    <w:p>
      <w:r>
        <w:t>建议观察位置：当前价格 89.00；MA20 92.00；MA50 79.59；MA200 86.09。若后续有效跌破MA50，趋势进一步恶化的概率上升。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当前价格：87.59</w:t>
      </w:r>
    </w:p>
    <w:p>
      <w:r>
        <w:t>趋势过滤：上升趋势；上升趋势评分：8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RSI：RSI6=54.3；RSI12=51.2；RSI24=49.8；RSI暂无明显风险</w:t>
      </w:r>
    </w:p>
    <w:p>
      <w:pPr>
        <w:pStyle w:val="ListBullet"/>
      </w:pPr>
      <w:r>
        <w:t>MA20/50/200：MA20=86.20；MA50=85.76；MA200=92.18；跌破MA200</w:t>
      </w:r>
    </w:p>
    <w:p>
      <w:pPr>
        <w:pStyle w:val="ListBullet"/>
      </w:pPr>
      <w:r>
        <w:t>成交量变化：Volume/MA20=0.81倍；成交量为20日均量的0.81倍</w:t>
      </w:r>
    </w:p>
    <w:p>
      <w:r>
        <w:t>主要风险来源：</w:t>
      </w:r>
    </w:p>
    <w:p>
      <w:pPr>
        <w:pStyle w:val="ListBullet"/>
      </w:pPr>
      <w:r>
        <w:t>跌破200日均线</w:t>
      </w:r>
    </w:p>
    <w:p>
      <w:r>
        <w:t>判断：健康上涨或正常波动。MACD暂无明显转弱；KDJ暂无明显风险；RSI暂无明显风险。</w:t>
      </w:r>
    </w:p>
    <w:p>
      <w:r>
        <w:t>建议观察位置：当前价格 87.59；MA20 86.20；MA50 85.76；MA200 92.18。若后续有效跌破MA50，趋势进一步恶化的概率上升。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当前价格：7.40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RSI：RSI6=53.3；RSI12=49.3；RSI24=47.6；未进入过热见顶评分</w:t>
      </w:r>
    </w:p>
    <w:p>
      <w:pPr>
        <w:pStyle w:val="ListBullet"/>
      </w:pPr>
      <w:r>
        <w:t>MA20/50/200：MA20=7.35；MA50=7.65；MA200=7.56；收盘价站上MA20；MA50高于MA200</w:t>
      </w:r>
    </w:p>
    <w:p>
      <w:pPr>
        <w:pStyle w:val="ListBullet"/>
      </w:pPr>
      <w:r>
        <w:t>成交量变化：Volume/MA20=0.50倍；成交量为20日均量的0.50倍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7.40；MA20 7.35；MA50 7.65；MA200 7.56。若后续有效跌破MA50，趋势进一步恶化的概率上升。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当前价格：61.81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RSI：RSI6=52.9；RSI12=49.9；RSI24=47.7；未进入过热见顶评分</w:t>
      </w:r>
    </w:p>
    <w:p>
      <w:pPr>
        <w:pStyle w:val="ListBullet"/>
      </w:pPr>
      <w:r>
        <w:t>MA20/50/200：MA20=60.79；MA50=62.79；MA200=81.52；收盘价站上MA20；近20日收益为正</w:t>
      </w:r>
    </w:p>
    <w:p>
      <w:pPr>
        <w:pStyle w:val="ListBullet"/>
      </w:pPr>
      <w:r>
        <w:t>成交量变化：Volume/MA20=0.65倍；成交量为20日均量的0.65倍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61.81；MA20 60.79；MA50 62.79；MA200 81.52。若后续有效跌破MA50，趋势进一步恶化的概率上升。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数据提示：历史数据不足300个交易日，当前仅286个交易日；部分长期均线可能为空。</w:t>
      </w:r>
    </w:p>
    <w:p>
      <w:r>
        <w:t>当前价格：24.36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RSI：RSI6=68.6；RSI12=60.0；RSI24=52.2；未进入过热见顶评分</w:t>
      </w:r>
    </w:p>
    <w:p>
      <w:pPr>
        <w:pStyle w:val="ListBullet"/>
      </w:pPr>
      <w:r>
        <w:t>MA20/50/200：MA20=21.70；MA50=22.39；MA200=27.79；收盘价站上MA20；收盘价站上MA50；近20日收益为正</w:t>
      </w:r>
    </w:p>
    <w:p>
      <w:pPr>
        <w:pStyle w:val="ListBullet"/>
      </w:pPr>
      <w:r>
        <w:t>成交量变化：Volume/MA20=1.84倍；成交量为20日均量的1.84倍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24.36；MA20 21.70；MA50 22.39；MA200 27.79。若后续有效跌破MA50，趋势进一步恶化的概率上升。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当前价格：101.40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RSI：RSI6=44.5；RSI12=44.5；RSI24=45.5；未进入过热见顶评分</w:t>
      </w:r>
    </w:p>
    <w:p>
      <w:pPr>
        <w:pStyle w:val="ListBullet"/>
      </w:pPr>
      <w:r>
        <w:t>MA20/50/200：MA20=103.23；MA50=111.70；MA200=107.01；MA50高于MA200</w:t>
      </w:r>
    </w:p>
    <w:p>
      <w:pPr>
        <w:pStyle w:val="ListBullet"/>
      </w:pPr>
      <w:r>
        <w:t>成交量变化：Volume/MA20=0.83倍；成交量为20日均量的0.83倍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101.40；MA20 103.23；MA50 111.70；MA200 107.01。若后续有效跌破MA50，趋势进一步恶化的概率上升。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当前价格：15.61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RSI：RSI6=56.7；RSI12=52.2；RSI24=48.0；未进入过热见顶评分</w:t>
      </w:r>
    </w:p>
    <w:p>
      <w:pPr>
        <w:pStyle w:val="ListBullet"/>
      </w:pPr>
      <w:r>
        <w:t>MA20/50/200：MA20=14.91；MA50=15.22；MA200=20.15；收盘价站上MA20；收盘价站上MA50</w:t>
      </w:r>
    </w:p>
    <w:p>
      <w:pPr>
        <w:pStyle w:val="ListBullet"/>
      </w:pPr>
      <w:r>
        <w:t>成交量变化：Volume/MA20=0.94倍；成交量为20日均量的0.94倍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15.61；MA20 14.91；MA50 15.22；MA200 20.15。若后续有效跌破MA50，趋势进一步恶化的概率上升。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当前价格：7.64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RSI：RSI6=58.8；RSI12=49.8；RSI24=47.4；未进入过热见顶评分</w:t>
      </w:r>
    </w:p>
    <w:p>
      <w:pPr>
        <w:pStyle w:val="ListBullet"/>
      </w:pPr>
      <w:r>
        <w:t>MA20/50/200：MA20=7.45；MA50=8.00；MA200=9.47；收盘价站上MA20；MA50斜率向上</w:t>
      </w:r>
    </w:p>
    <w:p>
      <w:pPr>
        <w:pStyle w:val="ListBullet"/>
      </w:pPr>
      <w:r>
        <w:t>成交量变化：Volume/MA20=1.10倍；成交量为20日均量的1.10倍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7.64；MA20 7.45；MA50 8.00；MA200 9.47。若后续有效跌破MA50，趋势进一步恶化的概率上升。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