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报告日期：2026-10-05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83.30</w:t>
            </w:r>
          </w:p>
        </w:tc>
        <w:tc>
          <w:tcPr>
            <w:tcW w:type="dxa" w:w="1440"/>
          </w:tcPr>
          <w:p>
            <w:r>
              <w:t>MACD处于零轴下方；RSI多头结构破坏；RSI12跌破50；跌破20日均线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上升趋势(7)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87.39</w:t>
            </w:r>
          </w:p>
        </w:tc>
        <w:tc>
          <w:tcPr>
            <w:tcW w:type="dxa" w:w="1440"/>
          </w:tcPr>
          <w:p>
            <w:r>
              <w:t>KDJ死叉；跌破200日均线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趋势修复/震荡偏强(8)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9.80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58.44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22.59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趋势修复/震荡偏强(7)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121.57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14.29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7.42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当前价格：83.30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8；风险等级：明显下跌风险</w:t>
      </w:r>
    </w:p>
    <w:p>
      <w:r>
        <w:t>技术指标：</w:t>
      </w:r>
    </w:p>
    <w:p>
      <w:pPr>
        <w:pStyle w:val="ListBullet"/>
      </w:pPr>
      <w:r>
        <w:t>MACD状态：DIF位于零轴下方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RSI：RSI6=40.2；RSI12=45.1；RSI24=49.1；RSI空头排列；RSI12跌破50</w:t>
      </w:r>
    </w:p>
    <w:p>
      <w:pPr>
        <w:pStyle w:val="ListBullet"/>
      </w:pPr>
      <w:r>
        <w:t>MA20/50/200：MA20=88.65；MA50=81.82；MA200=86.05；跌破MA20；跌破MA200</w:t>
      </w:r>
    </w:p>
    <w:p>
      <w:pPr>
        <w:pStyle w:val="ListBullet"/>
      </w:pPr>
      <w:r>
        <w:t>成交量变化：Volume/MA20=0.69倍；成交量为20日均量的0.69倍</w:t>
      </w:r>
    </w:p>
    <w:p>
      <w:r>
        <w:t>主要风险来源：</w:t>
      </w:r>
    </w:p>
    <w:p>
      <w:pPr>
        <w:pStyle w:val="ListBullet"/>
      </w:pPr>
      <w:r>
        <w:t>MACD处于零轴下方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判断：趋势转弱。DIF位于零轴下方；KDJ暂无明显风险；RSI空头排列；RSI12跌破50。</w:t>
      </w:r>
    </w:p>
    <w:p>
      <w:r>
        <w:t>建议观察位置：当前价格 83.30；MA20 88.65；MA50 81.82；MA200 86.05。若后续有效跌破MA50，趋势进一步恶化的概率上升。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当前价格：87.39</w:t>
      </w:r>
    </w:p>
    <w:p>
      <w:r>
        <w:t>趋势过滤：上升趋势；上升趋势评分：7</w:t>
      </w:r>
    </w:p>
    <w:p>
      <w:r>
        <w:t>当前状态：健康上涨或正常波动</w:t>
      </w:r>
    </w:p>
    <w:p>
      <w:r>
        <w:t>风险评分：总分 3；风险等级：正常波动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KDJ状态：KDJ死叉</w:t>
      </w:r>
    </w:p>
    <w:p>
      <w:pPr>
        <w:pStyle w:val="ListBullet"/>
      </w:pPr>
      <w:r>
        <w:t>RSI：RSI6=50.8；RSI12=50.6；RSI24=49.7；RSI暂无明显风险</w:t>
      </w:r>
    </w:p>
    <w:p>
      <w:pPr>
        <w:pStyle w:val="ListBullet"/>
      </w:pPr>
      <w:r>
        <w:t>MA20/50/200：MA20=87.09；MA50=87.01；MA200=92.37；跌破MA200</w:t>
      </w:r>
    </w:p>
    <w:p>
      <w:pPr>
        <w:pStyle w:val="ListBullet"/>
      </w:pPr>
      <w:r>
        <w:t>成交量变化：Volume/MA20=0.59倍；成交量为20日均量的0.59倍</w:t>
      </w:r>
    </w:p>
    <w:p>
      <w:r>
        <w:t>主要风险来源：</w:t>
      </w:r>
    </w:p>
    <w:p>
      <w:pPr>
        <w:pStyle w:val="ListBullet"/>
      </w:pPr>
      <w:r>
        <w:t>KDJ死叉</w:t>
      </w:r>
    </w:p>
    <w:p>
      <w:pPr>
        <w:pStyle w:val="ListBullet"/>
      </w:pPr>
      <w:r>
        <w:t>跌破200日均线</w:t>
      </w:r>
    </w:p>
    <w:p>
      <w:r>
        <w:t>判断：健康上涨或正常波动。MACD暂无明显转弱；KDJ死叉；RSI暂无明显风险。</w:t>
      </w:r>
    </w:p>
    <w:p>
      <w:r>
        <w:t>建议观察位置：当前价格 87.39；MA20 87.09；MA50 87.01；MA200 92.37。若后续有效跌破MA50，趋势进一步恶化的概率上升。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当前价格：9.80</w:t>
      </w:r>
    </w:p>
    <w:p>
      <w:r>
        <w:t>趋势过滤：趋势修复/震荡偏强；上升趋势评分：8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RSI：RSI6=82.6；RSI12=70.3；RSI24=59.3；未进入过热见顶评分</w:t>
      </w:r>
    </w:p>
    <w:p>
      <w:pPr>
        <w:pStyle w:val="ListBullet"/>
      </w:pPr>
      <w:r>
        <w:t>MA20/50/200：MA20=7.50；MA50=7.72；MA200=7.76；收盘价站上MA20；收盘价站上MA50；收盘价站上MA200；MA20斜率向上；MA50斜率向上；近20日收益为正；近60日收益为正</w:t>
      </w:r>
    </w:p>
    <w:p>
      <w:pPr>
        <w:pStyle w:val="ListBullet"/>
      </w:pPr>
      <w:r>
        <w:t>成交量变化：Volume/MA20=2.34倍；成交量为20日均量的2.34倍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9.80；MA20 7.50；MA50 7.72；MA200 7.76。若后续有效跌破MA50，趋势进一步恶化的概率上升。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当前价格：58.44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RSI：RSI6=42.1；RSI12=44.4；RSI24=45.4；未进入过热见顶评分</w:t>
      </w:r>
    </w:p>
    <w:p>
      <w:pPr>
        <w:pStyle w:val="ListBullet"/>
      </w:pPr>
      <w:r>
        <w:t>MA20/50/200：MA20=60.46；MA50=62.74；MA200=81.04；未满足上升趋势过滤条件</w:t>
      </w:r>
    </w:p>
    <w:p>
      <w:pPr>
        <w:pStyle w:val="ListBullet"/>
      </w:pPr>
      <w:r>
        <w:t>成交量变化：Volume/MA20=0.80倍；成交量为20日均量的0.80倍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58.44；MA20 60.46；MA50 62.74；MA200 81.04。若后续有效跌破MA50，趋势进一步恶化的概率上升。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数据提示：历史数据不足300个交易日，当前仅292个交易日；部分长期均线可能为空。</w:t>
      </w:r>
    </w:p>
    <w:p>
      <w:r>
        <w:t>当前价格：22.59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RSI：RSI6=46.3；RSI12=49.5；RSI24=48.2；未进入过热见顶评分</w:t>
      </w:r>
    </w:p>
    <w:p>
      <w:pPr>
        <w:pStyle w:val="ListBullet"/>
      </w:pPr>
      <w:r>
        <w:t>MA20/50/200：MA20=22.30；MA50=22.76；MA200=27.85；收盘价站上MA20；MA20斜率向上；MA50斜率向上；近20日收益为正</w:t>
      </w:r>
    </w:p>
    <w:p>
      <w:pPr>
        <w:pStyle w:val="ListBullet"/>
      </w:pPr>
      <w:r>
        <w:t>成交量变化：Volume/MA20=1.06倍；成交量为20日均量的1.06倍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22.59；MA20 22.30；MA50 22.76；MA200 27.85。若后续有效跌破MA50，趋势进一步恶化的概率上升。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当前价格：121.57</w:t>
      </w:r>
    </w:p>
    <w:p>
      <w:r>
        <w:t>趋势过滤：趋势修复/震荡偏强；上升趋势评分：7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RSI：RSI6=79.8；RSI12=64.4；RSI24=53.8；未进入过热见顶评分</w:t>
      </w:r>
    </w:p>
    <w:p>
      <w:pPr>
        <w:pStyle w:val="ListBullet"/>
      </w:pPr>
      <w:r>
        <w:t>MA20/50/200：MA20=103.98；MA50=111.58；MA200=109.25；收盘价站上MA20；收盘价站上MA50；收盘价站上MA200；MA50高于MA200；近20日收益为正；近60日收益为正</w:t>
      </w:r>
    </w:p>
    <w:p>
      <w:pPr>
        <w:pStyle w:val="ListBullet"/>
      </w:pPr>
      <w:r>
        <w:t>成交量变化：Volume/MA20=1.22倍；成交量为20日均量的1.22倍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121.57；MA20 103.98；MA50 111.58；MA200 109.25。若后续有效跌破MA50，趋势进一步恶化的概率上升。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当前价格：14.29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RSI：RSI6=41.5；RSI12=44.1；RSI24=44.6；未进入过热见顶评分</w:t>
      </w:r>
    </w:p>
    <w:p>
      <w:pPr>
        <w:pStyle w:val="ListBullet"/>
      </w:pPr>
      <w:r>
        <w:t>MA20/50/200：MA20=14.77；MA50=15.30；MA200=20.24；MA50斜率向上</w:t>
      </w:r>
    </w:p>
    <w:p>
      <w:pPr>
        <w:pStyle w:val="ListBullet"/>
      </w:pPr>
      <w:r>
        <w:t>成交量变化：Volume/MA20=0.96倍；成交量为20日均量的0.96倍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14.29；MA20 14.77；MA50 15.30；MA200 20.24。若后续有效跌破MA50，趋势进一步恶化的概率上升。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当前价格：7.42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RSI：RSI6=51.1；RSI12=47.0；RSI24=46.3；未进入过热见顶评分</w:t>
      </w:r>
    </w:p>
    <w:p>
      <w:pPr>
        <w:pStyle w:val="ListBullet"/>
      </w:pPr>
      <w:r>
        <w:t>MA20/50/200：MA20=7.39；MA50=7.99；MA200=9.44；收盘价站上MA20；MA50斜率向上；近60日收益为正</w:t>
      </w:r>
    </w:p>
    <w:p>
      <w:pPr>
        <w:pStyle w:val="ListBullet"/>
      </w:pPr>
      <w:r>
        <w:t>成交量变化：Volume/MA20=0.60倍；成交量为20日均量的0.60倍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7.42；MA20 7.39；MA50 7.99；MA200 9.44。若后续有效跌破MA50，趋势进一步恶化的概率上升。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