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- 2026-08-28</w:t>
      </w:r>
    </w:p>
    <w:p>
      <w:pPr>
        <w:pStyle w:val="ListBullet"/>
      </w:pPr>
      <w:r>
        <w:t>生成时间（美东）：2026-08-30 21:29:41 EDT</w:t>
      </w:r>
    </w:p>
    <w:p>
      <w:pPr>
        <w:pStyle w:val="ListBullet"/>
      </w:pPr>
      <w:r>
        <w:t>最新可用交易日：2026-08-28</w:t>
      </w:r>
    </w:p>
    <w:p>
      <w:pPr>
        <w:pStyle w:val="ListBullet"/>
      </w:pPr>
      <w:r>
        <w:t>数据源优先级：Yahoo Chart API -&gt; yfinance（可选备用，无需额外配置）</w:t>
      </w:r>
    </w:p>
    <w:p>
      <w:pPr>
        <w:pStyle w:val="ListBullet"/>
      </w:pPr>
      <w:r>
        <w:t>提醒：当前美东日期不是美股交易日，本次使用最近可用交易日的收盘数据计算。</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NVDA</w:t>
            </w:r>
          </w:p>
        </w:tc>
        <w:tc>
          <w:tcPr>
            <w:tcW w:type="dxa" w:w="960"/>
          </w:tcPr>
          <w:p>
            <w:r>
              <w:t>NVIDIA</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10.81%</w:t>
            </w:r>
          </w:p>
        </w:tc>
        <w:tc>
          <w:tcPr>
            <w:tcW w:type="dxa" w:w="960"/>
          </w:tcPr>
          <w:p>
            <w:r>
              <w:t>0.479</w:t>
            </w:r>
          </w:p>
        </w:tc>
        <w:tc>
          <w:tcPr>
            <w:tcW w:type="dxa" w:w="960"/>
          </w:tcPr>
          <w:p>
            <w:r>
              <w:t>1.52</w:t>
            </w:r>
          </w:p>
        </w:tc>
        <w:tc>
          <w:tcPr>
            <w:tcW w:type="dxa" w:w="960"/>
          </w:tcPr>
          <w:p>
            <w:r>
              <w:t>布林带收口，说明波动率下降，股价可能处于蓄势阶段，但方向尚未确认。</w:t>
            </w:r>
          </w:p>
        </w:tc>
      </w:tr>
      <w:tr>
        <w:tc>
          <w:tcPr>
            <w:tcW w:type="dxa" w:w="960"/>
          </w:tcPr>
          <w:p>
            <w:r>
              <w:t>MSFT</w:t>
            </w:r>
          </w:p>
        </w:tc>
        <w:tc>
          <w:tcPr>
            <w:tcW w:type="dxa" w:w="960"/>
          </w:tcPr>
          <w:p>
            <w:r>
              <w:t>MSFT</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7.42%</w:t>
            </w:r>
          </w:p>
        </w:tc>
        <w:tc>
          <w:tcPr>
            <w:tcW w:type="dxa" w:w="960"/>
          </w:tcPr>
          <w:p>
            <w:r>
              <w:t>1.051</w:t>
            </w:r>
          </w:p>
        </w:tc>
        <w:tc>
          <w:tcPr>
            <w:tcW w:type="dxa" w:w="960"/>
          </w:tcPr>
          <w:p>
            <w:r>
              <w:t>1.02</w:t>
            </w:r>
          </w:p>
        </w:tc>
        <w:tc>
          <w:tcPr>
            <w:tcW w:type="dxa" w:w="960"/>
          </w:tcPr>
          <w:p>
            <w:r>
              <w:t>股价突破布林线上轨，但成交量确认不足，可能是假突破，需要下一交易日确认。</w:t>
            </w:r>
          </w:p>
        </w:tc>
      </w:tr>
      <w:tr>
        <w:tc>
          <w:tcPr>
            <w:tcW w:type="dxa" w:w="960"/>
          </w:tcPr>
          <w:p>
            <w:r>
              <w:t>OPTX</w:t>
            </w:r>
          </w:p>
        </w:tc>
        <w:tc>
          <w:tcPr>
            <w:tcW w:type="dxa" w:w="960"/>
          </w:tcPr>
          <w:p>
            <w:r>
              <w:t>Syntec Optics Holdings</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26.79%</w:t>
            </w:r>
          </w:p>
        </w:tc>
        <w:tc>
          <w:tcPr>
            <w:tcW w:type="dxa" w:w="960"/>
          </w:tcPr>
          <w:p>
            <w:r>
              <w:t>0.613</w:t>
            </w:r>
          </w:p>
        </w:tc>
        <w:tc>
          <w:tcPr>
            <w:tcW w:type="dxa" w:w="960"/>
          </w:tcPr>
          <w:p>
            <w:r>
              <w:t>0.86</w:t>
            </w:r>
          </w:p>
        </w:tc>
        <w:tc>
          <w:tcPr>
            <w:tcW w:type="dxa" w:w="960"/>
          </w:tcPr>
          <w:p>
            <w:r>
              <w:t>布林带收口，说明波动率下降，股价可能处于蓄势阶段，但方向尚未确认。</w:t>
            </w:r>
          </w:p>
        </w:tc>
      </w:tr>
      <w:tr>
        <w:tc>
          <w:tcPr>
            <w:tcW w:type="dxa" w:w="960"/>
          </w:tcPr>
          <w:p>
            <w:r>
              <w:t>QCOM</w:t>
            </w:r>
          </w:p>
        </w:tc>
        <w:tc>
          <w:tcPr>
            <w:tcW w:type="dxa" w:w="960"/>
          </w:tcPr>
          <w:p>
            <w:r>
              <w:t>QCOM</w:t>
            </w:r>
          </w:p>
        </w:tc>
        <w:tc>
          <w:tcPr>
            <w:tcW w:type="dxa" w:w="960"/>
          </w:tcPr>
          <w:p>
            <w:r>
              <w:t>C 观察信号</w:t>
            </w:r>
          </w:p>
        </w:tc>
        <w:tc>
          <w:tcPr>
            <w:tcW w:type="dxa" w:w="960"/>
          </w:tcPr>
          <w:p>
            <w:r>
              <w:t>弱收口：Bandwidth低于近8个月30%分位且最近8个交易日及以上连续下降；中轨附近窄幅震荡；低位形态</w:t>
            </w:r>
          </w:p>
        </w:tc>
        <w:tc>
          <w:tcPr>
            <w:tcW w:type="dxa" w:w="960"/>
          </w:tcPr>
          <w:p>
            <w:r>
              <w:t>中轨附近</w:t>
            </w:r>
          </w:p>
        </w:tc>
        <w:tc>
          <w:tcPr>
            <w:tcW w:type="dxa" w:w="960"/>
          </w:tcPr>
          <w:p>
            <w:r>
              <w:t>8.30%</w:t>
            </w:r>
          </w:p>
        </w:tc>
        <w:tc>
          <w:tcPr>
            <w:tcW w:type="dxa" w:w="960"/>
          </w:tcPr>
          <w:p>
            <w:r>
              <w:t>0.678</w:t>
            </w:r>
          </w:p>
        </w:tc>
        <w:tc>
          <w:tcPr>
            <w:tcW w:type="dxa" w:w="960"/>
          </w:tcPr>
          <w:p>
            <w:r>
              <w:t>0.80</w:t>
            </w:r>
          </w:p>
        </w:tc>
        <w:tc>
          <w:tcPr>
            <w:tcW w:type="dxa" w:w="960"/>
          </w:tcPr>
          <w:p>
            <w:r>
              <w:t>布林带收口，说明波动率下降，股价可能处于蓄势阶段，但方向尚未确认。</w:t>
            </w:r>
          </w:p>
        </w:tc>
      </w:tr>
      <w:tr>
        <w:tc>
          <w:tcPr>
            <w:tcW w:type="dxa" w:w="960"/>
          </w:tcPr>
          <w:p>
            <w:r>
              <w:t>QSI</w:t>
            </w:r>
          </w:p>
        </w:tc>
        <w:tc>
          <w:tcPr>
            <w:tcW w:type="dxa" w:w="960"/>
          </w:tcPr>
          <w:p>
            <w:r>
              <w:t>QSI</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17.15%</w:t>
            </w:r>
          </w:p>
        </w:tc>
        <w:tc>
          <w:tcPr>
            <w:tcW w:type="dxa" w:w="960"/>
          </w:tcPr>
          <w:p>
            <w:r>
              <w:t>0.477</w:t>
            </w:r>
          </w:p>
        </w:tc>
        <w:tc>
          <w:tcPr>
            <w:tcW w:type="dxa" w:w="960"/>
          </w:tcPr>
          <w:p>
            <w:r>
              <w:t>0.76</w:t>
            </w:r>
          </w:p>
        </w:tc>
        <w:tc>
          <w:tcPr>
            <w:tcW w:type="dxa" w:w="960"/>
          </w:tcPr>
          <w:p>
            <w:r>
              <w:t>布林带收口，说明波动率下降，股价可能处于蓄势阶段，但方向尚未确认。</w:t>
            </w:r>
          </w:p>
        </w:tc>
      </w:tr>
      <w:tr>
        <w:tc>
          <w:tcPr>
            <w:tcW w:type="dxa" w:w="960"/>
          </w:tcPr>
          <w:p>
            <w:r>
              <w:t>MU</w:t>
            </w:r>
          </w:p>
        </w:tc>
        <w:tc>
          <w:tcPr>
            <w:tcW w:type="dxa" w:w="960"/>
          </w:tcPr>
          <w:p>
            <w:r>
              <w:t>MU</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18.93%</w:t>
            </w:r>
          </w:p>
        </w:tc>
        <w:tc>
          <w:tcPr>
            <w:tcW w:type="dxa" w:w="960"/>
          </w:tcPr>
          <w:p>
            <w:r>
              <w:t>0.569</w:t>
            </w:r>
          </w:p>
        </w:tc>
        <w:tc>
          <w:tcPr>
            <w:tcW w:type="dxa" w:w="960"/>
          </w:tcPr>
          <w:p>
            <w:r>
              <w:t>0.75</w:t>
            </w:r>
          </w:p>
        </w:tc>
        <w:tc>
          <w:tcPr>
            <w:tcW w:type="dxa" w:w="960"/>
          </w:tcPr>
          <w:p>
            <w:r>
              <w:t>布林带收口，说明波动率下降，股价可能处于蓄势阶段，但方向尚未确认。</w:t>
            </w:r>
          </w:p>
        </w:tc>
      </w:tr>
    </w:tbl>
    <w:p>
      <w:pPr>
        <w:pStyle w:val="Heading2"/>
      </w:pPr>
      <w:r>
        <w:t>二、重点结论</w:t>
      </w:r>
    </w:p>
    <w:p>
      <w:pPr>
        <w:pStyle w:val="ListBullet"/>
      </w:pPr>
      <w:r>
        <w:t>强信号：无。</w:t>
      </w:r>
    </w:p>
    <w:p>
      <w:pPr>
        <w:pStyle w:val="ListBullet"/>
      </w:pPr>
      <w:r>
        <w:t>中等信号：无。</w:t>
      </w:r>
    </w:p>
    <w:p>
      <w:pPr>
        <w:pStyle w:val="ListBullet"/>
      </w:pPr>
      <w:r>
        <w:t>观察信号：NVDA, MSFT, OPTX, QCOM, QSI, MU。</w:t>
      </w:r>
    </w:p>
    <w:p>
      <w:pPr>
        <w:pStyle w:val="ListBullet"/>
      </w:pPr>
      <w:r>
        <w:t>今日优先复核：NVDA, MSFT, OPTX, QCOM, QSI。优先看是否放量、能否站稳上轨或中轨。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NVDA - NVIDIA</w:t>
      </w:r>
    </w:p>
    <w:p>
      <w:pPr>
        <w:pStyle w:val="ListBullet"/>
      </w:pPr>
      <w:r>
        <w:t>信号等级：C 观察信号</w:t>
      </w:r>
    </w:p>
    <w:p>
      <w:pPr>
        <w:pStyle w:val="ListBullet"/>
      </w:pPr>
      <w:r>
        <w:t>最新收盘价：$217.55</w:t>
      </w:r>
    </w:p>
    <w:p>
      <w:pPr>
        <w:pStyle w:val="ListBullet"/>
      </w:pPr>
      <w:r>
        <w:t>BOLL：上轨 $229.84；中轨 $218.05；下轨 $206.26</w:t>
      </w:r>
    </w:p>
    <w:p>
      <w:pPr>
        <w:pStyle w:val="ListBullet"/>
      </w:pPr>
      <w:r>
        <w:t>Bandwidth：10.81%；历史分位：17.86%；%B：0.479</w:t>
      </w:r>
    </w:p>
    <w:p>
      <w:pPr>
        <w:pStyle w:val="ListBullet"/>
      </w:pPr>
      <w:r>
        <w:t>成交量：当日 194586600；20日均量 127870045；量比 1.52</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MSFT - MSFT</w:t>
      </w:r>
    </w:p>
    <w:p>
      <w:pPr>
        <w:pStyle w:val="ListBullet"/>
      </w:pPr>
      <w:r>
        <w:t>信号等级：C 观察信号</w:t>
      </w:r>
    </w:p>
    <w:p>
      <w:pPr>
        <w:pStyle w:val="ListBullet"/>
      </w:pPr>
      <w:r>
        <w:t>最新收盘价：$513.53</w:t>
      </w:r>
    </w:p>
    <w:p>
      <w:pPr>
        <w:pStyle w:val="ListBullet"/>
      </w:pPr>
      <w:r>
        <w:t>BOLL：上轨 $511.65；中轨 $493.35；下轨 $475.05</w:t>
      </w:r>
    </w:p>
    <w:p>
      <w:pPr>
        <w:pStyle w:val="ListBullet"/>
      </w:pPr>
      <w:r>
        <w:t>Bandwidth：7.42%；历史分位：23.21%；%B：1.051</w:t>
      </w:r>
    </w:p>
    <w:p>
      <w:pPr>
        <w:pStyle w:val="ListBullet"/>
      </w:pPr>
      <w:r>
        <w:t>成交量：当日 29178300；20日均量 28500045；量比 1.02</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OPTX - Syntec Optics Holdings</w:t>
      </w:r>
    </w:p>
    <w:p>
      <w:pPr>
        <w:pStyle w:val="ListBullet"/>
      </w:pPr>
      <w:r>
        <w:t>信号等级：C 观察信号</w:t>
      </w:r>
    </w:p>
    <w:p>
      <w:pPr>
        <w:pStyle w:val="ListBullet"/>
      </w:pPr>
      <w:r>
        <w:t>最新收盘价：$8.52</w:t>
      </w:r>
    </w:p>
    <w:p>
      <w:pPr>
        <w:pStyle w:val="ListBullet"/>
      </w:pPr>
      <w:r>
        <w:t>BOLL：上轨 $9.38；中轨 $8.27；下轨 $7.16</w:t>
      </w:r>
    </w:p>
    <w:p>
      <w:pPr>
        <w:pStyle w:val="ListBullet"/>
      </w:pPr>
      <w:r>
        <w:t>Bandwidth：26.79%；历史分位：1.79%；%B：0.613</w:t>
      </w:r>
    </w:p>
    <w:p>
      <w:pPr>
        <w:pStyle w:val="ListBullet"/>
      </w:pPr>
      <w:r>
        <w:t>成交量：当日 251600；20日均量 291380；量比 0.86</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QCOM - QCOM</w:t>
      </w:r>
    </w:p>
    <w:p>
      <w:pPr>
        <w:pStyle w:val="ListBullet"/>
      </w:pPr>
      <w:r>
        <w:t>信号等级：C 观察信号</w:t>
      </w:r>
    </w:p>
    <w:p>
      <w:pPr>
        <w:pStyle w:val="ListBullet"/>
      </w:pPr>
      <w:r>
        <w:t>最新收盘价：$164.19</w:t>
      </w:r>
    </w:p>
    <w:p>
      <w:pPr>
        <w:pStyle w:val="ListBullet"/>
      </w:pPr>
      <w:r>
        <w:t>BOLL：上轨 $168.52；中轨 $161.80；下轨 $155.09</w:t>
      </w:r>
    </w:p>
    <w:p>
      <w:pPr>
        <w:pStyle w:val="ListBullet"/>
      </w:pPr>
      <w:r>
        <w:t>Bandwidth：8.30%；历史分位：13.10%；%B：0.678</w:t>
      </w:r>
    </w:p>
    <w:p>
      <w:pPr>
        <w:pStyle w:val="ListBullet"/>
      </w:pPr>
      <w:r>
        <w:t>成交量：当日 7752100；20日均量 9698680；量比 0.80</w:t>
      </w:r>
    </w:p>
    <w:p>
      <w:pPr>
        <w:pStyle w:val="ListBullet"/>
      </w:pPr>
      <w:r>
        <w:t>触发信号：弱收口：Bandwidth低于近8个月30%分位且最近8个交易日及以上连续下降；中轨附近窄幅震荡；低位形态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QSI - QSI</w:t>
      </w:r>
    </w:p>
    <w:p>
      <w:pPr>
        <w:pStyle w:val="ListBullet"/>
      </w:pPr>
      <w:r>
        <w:t>信号等级：C 观察信号</w:t>
      </w:r>
    </w:p>
    <w:p>
      <w:pPr>
        <w:pStyle w:val="ListBullet"/>
      </w:pPr>
      <w:r>
        <w:t>最新收盘价：$0.78</w:t>
      </w:r>
    </w:p>
    <w:p>
      <w:pPr>
        <w:pStyle w:val="ListBullet"/>
      </w:pPr>
      <w:r>
        <w:t>BOLL：上轨 $0.85；中轨 $0.78；下轨 $0.72</w:t>
      </w:r>
    </w:p>
    <w:p>
      <w:pPr>
        <w:pStyle w:val="ListBullet"/>
      </w:pPr>
      <w:r>
        <w:t>Bandwidth：17.15%；历史分位：2.38%；%B：0.477</w:t>
      </w:r>
    </w:p>
    <w:p>
      <w:pPr>
        <w:pStyle w:val="ListBullet"/>
      </w:pPr>
      <w:r>
        <w:t>成交量：当日 2412700；20日均量 3165550；量比 0.76</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MU - MU</w:t>
      </w:r>
    </w:p>
    <w:p>
      <w:pPr>
        <w:pStyle w:val="ListBullet"/>
      </w:pPr>
      <w:r>
        <w:t>信号等级：C 观察信号</w:t>
      </w:r>
    </w:p>
    <w:p>
      <w:pPr>
        <w:pStyle w:val="ListBullet"/>
      </w:pPr>
      <w:r>
        <w:t>最新收盘价：$932.86</w:t>
      </w:r>
    </w:p>
    <w:p>
      <w:pPr>
        <w:pStyle w:val="ListBullet"/>
      </w:pPr>
      <w:r>
        <w:t>BOLL：上轨 $1008.02；中轨 $920.87；下轨 $833.73</w:t>
      </w:r>
    </w:p>
    <w:p>
      <w:pPr>
        <w:pStyle w:val="ListBullet"/>
      </w:pPr>
      <w:r>
        <w:t>Bandwidth：18.93%；历史分位：11.90%；%B：0.569</w:t>
      </w:r>
    </w:p>
    <w:p>
      <w:pPr>
        <w:pStyle w:val="ListBullet"/>
      </w:pPr>
      <w:r>
        <w:t>成交量：当日 22820800；20日均量 30401850；量比 0.75</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tbl>
      <w:tblPr>
        <w:tblStyle w:val="TableGrid"/>
        <w:tblW w:type="auto" w:w="0"/>
        <w:tblLook w:firstColumn="1" w:firstRow="1" w:lastColumn="0" w:lastRow="0" w:noHBand="0" w:noVBand="1" w:val="04A0"/>
      </w:tblPr>
      <w:tblGrid>
        <w:gridCol w:w="2880"/>
        <w:gridCol w:w="2880"/>
        <w:gridCol w:w="2880"/>
      </w:tblGrid>
      <w:tr>
        <w:tc>
          <w:tcPr>
            <w:tcW w:type="dxa" w:w="2880"/>
          </w:tcPr>
          <w:p>
            <w:r>
              <w:t>股票代码</w:t>
            </w:r>
          </w:p>
        </w:tc>
        <w:tc>
          <w:tcPr>
            <w:tcW w:type="dxa" w:w="2880"/>
          </w:tcPr>
          <w:p>
            <w:r>
              <w:t>公司名称</w:t>
            </w:r>
          </w:p>
        </w:tc>
        <w:tc>
          <w:tcPr>
            <w:tcW w:type="dxa" w:w="2880"/>
          </w:tcPr>
          <w:p>
            <w:r>
              <w:t>原因</w:t>
            </w:r>
          </w:p>
        </w:tc>
      </w:tr>
      <w:tr>
        <w:tc>
          <w:tcPr>
            <w:tcW w:type="dxa" w:w="2880"/>
          </w:tcPr>
          <w:p>
            <w:r>
              <w:t>SPCX</w:t>
            </w:r>
          </w:p>
        </w:tc>
        <w:tc>
          <w:tcPr>
            <w:tcW w:type="dxa" w:w="2880"/>
          </w:tcPr>
          <w:p>
            <w:r>
              <w:t>SPCX</w:t>
            </w:r>
          </w:p>
        </w:tc>
        <w:tc>
          <w:tcPr>
            <w:tcW w:type="dxa" w:w="2880"/>
          </w:tcPr>
          <w:p>
            <w:r>
              <w:t>数据长度不足，无法稳定计算 BOLL</w:t>
            </w:r>
          </w:p>
        </w:tc>
      </w:tr>
    </w:tbl>
    <w:p>
      <w:pPr>
        <w:pStyle w:val="Heading2"/>
      </w:pPr>
      <w:r>
        <w:t>五、无明显 BOLL 信号</w:t>
      </w:r>
    </w:p>
    <w:p>
      <w:r>
        <w:t>NOK（Nokia Oyj）, XE（X-energy）, RKLB（Rocket Lab USA）, NBIS（Nebius Group）, ARM（Arm Holdings）, GLW（Corning）, COHR（Coherent）, LITE（Lumentum Holdings）, MRVL（Marvell Technology）, INTC（Intel）, ALAB（Astera Labs）, FLNC（Fluence Energy）, CRWV（CoreWeave）, ORCL（Oracle）, NVTS（Navitas Semiconductor）, POET（POET Technologies）, DELL（Dell Technologies）, BB（BlackBerry）, ONDS（Ondas Holdings）, SMR（NuScale Power）, OKLO（Oklo）, IONQ（IonQ）, QBTS（D-Wave Quantum）, AMZN（Amazon.com）, AMD（Advanced Micro Devices）, CRCL（Circle Internet Group）, FLY（Firefly Aerospace）, CBRS（Chain Bridge Bancorp）, CIEN（Ciena）, SIVEF（Sivers Semiconductors）, SHAZ（Shaz）, LUNR（Intuitive Machines）, ASTS（AST SpaceMobile）, AAOI（Applied Optoelectronics）, INOD（Innodata）, RDW（RDW）, COIN（COIN）, CORZ（CORZ）, IREN（IREN）, VELO（VELO）, GOOG（GOOG）, AVGO（AVGO）, AMAT（AMAT）, AMKR（AMKR）, LRCX（LRCX）, SNDK（SNDK）, VICR（VICR）, NNE（Nano Nuclear Energy Inc.）, CCJ（CCJ）, BWAY（BWAY）, MANE（Veradermics, Incorporated）, CRSP（CRSP）, IBRX（ImmunityBio, Inc.）, INSP（INSP）</w:t>
      </w:r>
    </w:p>
    <w:p>
      <w:r>
        <w:br w:type="page"/>
      </w:r>
    </w:p>
    <w:p>
      <w:pPr>
        <w:pStyle w:val="Heading2"/>
      </w:pPr>
      <w:r>
        <w:t>六、触发股票 BOLL 图表</w:t>
      </w:r>
    </w:p>
    <w:p>
      <w:pPr>
        <w:pStyle w:val="Heading3"/>
      </w:pPr>
      <w:r>
        <w:t>NVDA - NVIDIA</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NVDA_BOLL.png"/>
                    <pic:cNvPicPr/>
                  </pic:nvPicPr>
                  <pic:blipFill>
                    <a:blip r:embed="rId9"/>
                    <a:stretch>
                      <a:fillRect/>
                    </a:stretch>
                  </pic:blipFill>
                  <pic:spPr>
                    <a:xfrm>
                      <a:off x="0" y="0"/>
                      <a:ext cx="6035040" cy="4054793"/>
                    </a:xfrm>
                    <a:prstGeom prst="rect"/>
                  </pic:spPr>
                </pic:pic>
              </a:graphicData>
            </a:graphic>
          </wp:inline>
        </w:drawing>
      </w:r>
    </w:p>
    <w:p>
      <w:pPr>
        <w:pStyle w:val="Heading3"/>
      </w:pPr>
      <w:r>
        <w:t>MSFT - MSFT</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MSFT_BOLL.png"/>
                    <pic:cNvPicPr/>
                  </pic:nvPicPr>
                  <pic:blipFill>
                    <a:blip r:embed="rId10"/>
                    <a:stretch>
                      <a:fillRect/>
                    </a:stretch>
                  </pic:blipFill>
                  <pic:spPr>
                    <a:xfrm>
                      <a:off x="0" y="0"/>
                      <a:ext cx="6035040" cy="4054793"/>
                    </a:xfrm>
                    <a:prstGeom prst="rect"/>
                  </pic:spPr>
                </pic:pic>
              </a:graphicData>
            </a:graphic>
          </wp:inline>
        </w:drawing>
      </w:r>
    </w:p>
    <w:p>
      <w:pPr>
        <w:pStyle w:val="Heading3"/>
      </w:pPr>
      <w:r>
        <w:t>OPTX - Syntec Optics Holdings</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OPTX_BOLL.png"/>
                    <pic:cNvPicPr/>
                  </pic:nvPicPr>
                  <pic:blipFill>
                    <a:blip r:embed="rId11"/>
                    <a:stretch>
                      <a:fillRect/>
                    </a:stretch>
                  </pic:blipFill>
                  <pic:spPr>
                    <a:xfrm>
                      <a:off x="0" y="0"/>
                      <a:ext cx="6035040" cy="4054793"/>
                    </a:xfrm>
                    <a:prstGeom prst="rect"/>
                  </pic:spPr>
                </pic:pic>
              </a:graphicData>
            </a:graphic>
          </wp:inline>
        </w:drawing>
      </w:r>
    </w:p>
    <w:p>
      <w:pPr>
        <w:pStyle w:val="Heading3"/>
      </w:pPr>
      <w:r>
        <w:t>QCOM - QCOM</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QCOM_BOLL.png"/>
                    <pic:cNvPicPr/>
                  </pic:nvPicPr>
                  <pic:blipFill>
                    <a:blip r:embed="rId12"/>
                    <a:stretch>
                      <a:fillRect/>
                    </a:stretch>
                  </pic:blipFill>
                  <pic:spPr>
                    <a:xfrm>
                      <a:off x="0" y="0"/>
                      <a:ext cx="6035040" cy="4054793"/>
                    </a:xfrm>
                    <a:prstGeom prst="rect"/>
                  </pic:spPr>
                </pic:pic>
              </a:graphicData>
            </a:graphic>
          </wp:inline>
        </w:drawing>
      </w:r>
    </w:p>
    <w:p>
      <w:pPr>
        <w:pStyle w:val="Heading3"/>
      </w:pPr>
      <w:r>
        <w:t>QSI - QSI</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QSI_BOLL.png"/>
                    <pic:cNvPicPr/>
                  </pic:nvPicPr>
                  <pic:blipFill>
                    <a:blip r:embed="rId13"/>
                    <a:stretch>
                      <a:fillRect/>
                    </a:stretch>
                  </pic:blipFill>
                  <pic:spPr>
                    <a:xfrm>
                      <a:off x="0" y="0"/>
                      <a:ext cx="6035040" cy="4054793"/>
                    </a:xfrm>
                    <a:prstGeom prst="rect"/>
                  </pic:spPr>
                </pic:pic>
              </a:graphicData>
            </a:graphic>
          </wp:inline>
        </w:drawing>
      </w:r>
    </w:p>
    <w:p>
      <w:pPr>
        <w:pStyle w:val="Heading3"/>
      </w:pPr>
      <w:r>
        <w:t>MU - MU</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MU_BOLL.png"/>
                    <pic:cNvPicPr/>
                  </pic:nvPicPr>
                  <pic:blipFill>
                    <a:blip r:embed="rId14"/>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