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报告日期：2026-08-20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83.66</w:t>
            </w:r>
          </w:p>
        </w:tc>
        <w:tc>
          <w:tcPr>
            <w:tcW w:type="dxa" w:w="1234"/>
          </w:tcPr>
          <w:p>
            <w:r>
              <w:t>偏离MA20超过15%；RSI6大于75；RSI12大于65；KDJ处于高位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17.93</w:t>
            </w:r>
          </w:p>
        </w:tc>
        <w:tc>
          <w:tcPr>
            <w:tcW w:type="dxa" w:w="1234"/>
          </w:tcPr>
          <w:p>
            <w:r>
              <w:t>偏离MA20超过15%；放量冲高后缩量；跌破MA5；RSI6掉头向下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8.79</w:t>
            </w:r>
          </w:p>
        </w:tc>
        <w:tc>
          <w:tcPr>
            <w:tcW w:type="dxa" w:w="1234"/>
          </w:tcPr>
          <w:p>
            <w:r>
              <w:t>偏离MA20超过8%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129.10</w:t>
            </w:r>
          </w:p>
        </w:tc>
        <w:tc>
          <w:tcPr>
            <w:tcW w:type="dxa" w:w="1234"/>
          </w:tcPr>
          <w:p>
            <w:r>
              <w:t>跌破MA5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89.76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23.63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65.06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8.38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当前价格：83.66</w:t>
      </w:r>
    </w:p>
    <w:p>
      <w:r>
        <w:t>短线状态：短线反弹确认；反弹确认分：7</w:t>
      </w:r>
    </w:p>
    <w:p>
      <w:r>
        <w:t>短线风险分：6；风险等级：短线过热，容易回踩</w:t>
      </w:r>
    </w:p>
    <w:p>
      <w:r>
        <w:t>指标摘要：RSI6/RSI12=78.3/68.9；K/D/J=85.7/82.6/91.8；偏离MA20=22.81%；近5日涨幅=10.98%；量能=1.82倍。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KDJ处于高位</w:t>
      </w:r>
    </w:p>
    <w:p>
      <w:pPr>
        <w:pStyle w:val="ListBullet"/>
      </w:pPr>
      <w:r>
        <w:t>放量冲高后缩量</w:t>
      </w:r>
    </w:p>
    <w:p>
      <w:r>
        <w:t>建议观察位置：当前价格 83.66；MA5 76.03；MA10 73.17；MA20 68.12。若跌破MA5，短线反弹降温；若跌破MA20，反弹结构可能明显转弱。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当前价格：17.93</w:t>
      </w:r>
    </w:p>
    <w:p>
      <w:r>
        <w:t>短线状态：短线反弹确认；反弹确认分：6</w:t>
      </w:r>
    </w:p>
    <w:p>
      <w:r>
        <w:t>短线风险分：5；风险等级：短线偏热</w:t>
      </w:r>
    </w:p>
    <w:p>
      <w:r>
        <w:t>指标摘要：RSI6/RSI12=54.7/56.0；K/D/J=71.4/79.4/55.3；偏离MA20=16.10%；近5日涨幅=2.11%；量能=0.68倍。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17.93；MA5 19.03；MA10 17.83；MA20 15.44。若跌破MA5，短线反弹降温；若跌破MA20，反弹结构可能明显转弱。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当前价格：8.79</w:t>
      </w:r>
    </w:p>
    <w:p>
      <w:r>
        <w:t>短线状态：短线反弹确认；反弹确认分：7</w:t>
      </w:r>
    </w:p>
    <w:p>
      <w:r>
        <w:t>短线风险分：1；风险等级：短线反弹正常</w:t>
      </w:r>
    </w:p>
    <w:p>
      <w:r>
        <w:t>指标摘要：RSI6/RSI12=61.7/55.5；K/D/J=70.1/73.3/63.9；偏离MA20=13.89%；近5日涨幅=0.46%；量能=0.55倍。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r>
        <w:t>建议观察位置：当前价格 8.79；MA5 8.67；MA10 8.50；MA20 7.72。若跌破MA5，短线反弹降温；若跌破MA20，反弹结构可能明显转弱。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当前价格：129.10</w:t>
      </w:r>
    </w:p>
    <w:p>
      <w:r>
        <w:t>短线状态：短线反弹初步成立；反弹确认分：4</w:t>
      </w:r>
    </w:p>
    <w:p>
      <w:r>
        <w:t>短线风险分：1；风险等级：短线反弹正常</w:t>
      </w:r>
    </w:p>
    <w:p>
      <w:r>
        <w:t>指标摘要：RSI6/RSI12=48.1/51.0；K/D/J=37.3/54.7/2.6；偏离MA20=7.56%；近5日涨幅=-0.75%；量能=0.72倍。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r>
        <w:t>建议观察位置：当前价格 129.10；MA5 137.57；MA10 135.88；MA20 120.02。若跌破MA5，短线反弹降温；若跌破MA20，反弹结构可能明显转弱。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当前价格：89.76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指标摘要：RSI6/RSI12=40.9/49.2；K/D/J=31.2/50.8/-8.0；偏离MA20=3.31%；近5日涨幅=-15.55%；量能=0.53倍。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89.76；MA5 97.01；MA10 96.83；MA20 86.88。若跌破MA5，短线反弹降温；若跌破MA20，反弹结构可能明显转弱。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当前价格：23.63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指标摘要：RSI6/RSI12=33.7/45.4；K/D/J=44.4/64.3/4.5；偏离MA20=0.44%；近5日涨幅=-11.73%；量能=1.02倍。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23.63；MA5 25.78；MA10 26.11；MA20 23.53。若跌破MA5，短线反弹降温；若跌破MA20，反弹结构可能明显转弱。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当前价格：65.06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指标摘要：RSI6/RSI12=36.2/45.2；K/D/J=33.5/50.2/0.1；偏离MA20=-0.66%；近5日涨幅=-9.03%；量能=0.71倍。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65.06；MA5 68.14；MA10 69.88；MA20 65.49。若跌破MA5，短线反弹降温；若跌破MA20，反弹结构可能明显转弱。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当前价格：8.38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指标摘要：RSI6/RSI12=35.2/46.7；K/D/J=32.2/49.1/-1.7；偏离MA20=-2.45%；近5日涨幅=-5.95%；量能=0.88倍。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8.38；MA5 8.92；MA10 9.14；MA20 8.59。若跌破MA5，短线反弹降温；若跌破MA20，反弹结构可能明显转弱。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