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报告日期：2026-09-28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921.32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132.60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41.72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8.52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LITE</w:t>
      </w:r>
    </w:p>
    <w:p>
      <w:r>
        <w:t>基础信息：日期 2026-09-28；当前价格 921.32；信号等级 C. 观察信号。</w:t>
      </w:r>
    </w:p>
    <w:p>
      <w:r>
        <w:t>BOLL：上轨 998.63；中轨 913.01；下轨 827.40；Bandwidth 18.75%。</w:t>
      </w:r>
    </w:p>
    <w:p>
      <w:r>
        <w:t>MACD：DIF 17.2969；DEA 18.1393；MACD柱 -0.8424；是否死叉：是。</w:t>
      </w:r>
    </w:p>
    <w:p>
      <w:r>
        <w:t>RSI：RSI6 48.63；RSI12 51.72；RSI24 52.10。</w:t>
      </w:r>
    </w:p>
    <w:p>
      <w:r>
        <w:t>均线：MA20 913.01；MA50 862.84；MA200 N/A。</w:t>
      </w:r>
    </w:p>
    <w:p>
      <w:r>
        <w:t>成交量：当日成交量 4432800；20日平均成交量 4435830；成交量倍数 1.00。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ORCL</w:t>
      </w:r>
    </w:p>
    <w:p>
      <w:r>
        <w:t>基础信息：日期 2026-09-28；当前价格 132.60；信号等级 C. 观察信号。</w:t>
      </w:r>
    </w:p>
    <w:p>
      <w:r>
        <w:t>BOLL：上轨 163.01；中轨 147.72；下轨 132.43；Bandwidth 20.70%。</w:t>
      </w:r>
    </w:p>
    <w:p>
      <w:r>
        <w:t>MACD：DIF -2.1523；DEA -0.1697；MACD柱 -1.9827；是否死叉：是。</w:t>
      </w:r>
    </w:p>
    <w:p>
      <w:r>
        <w:t>RSI：RSI6 22.20；RSI12 35.11；RSI24 41.92。</w:t>
      </w:r>
    </w:p>
    <w:p>
      <w:r>
        <w:t>均线：MA20 147.72；MA50 142.37；MA200 N/A。</w:t>
      </w:r>
    </w:p>
    <w:p>
      <w:r>
        <w:t>成交量：当日成交量 35014000；20日平均成交量 34214685；成交量倍数 1.02。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IREN</w:t>
      </w:r>
    </w:p>
    <w:p>
      <w:r>
        <w:t>基础信息：日期 2026-09-28；当前价格 41.72；信号等级 C. 观察信号。</w:t>
      </w:r>
    </w:p>
    <w:p>
      <w:r>
        <w:t>BOLL：上轨 49.89；中轨 43.60；下轨 37.31；Bandwidth 28.86%。</w:t>
      </w:r>
    </w:p>
    <w:p>
      <w:r>
        <w:t>MACD：DIF 0.9500；DEA 1.0836；MACD柱 -0.1336；是否死叉：是。</w:t>
      </w:r>
    </w:p>
    <w:p>
      <w:r>
        <w:t>RSI：RSI6 32.63；RSI12 44.60；RSI24 48.21。</w:t>
      </w:r>
    </w:p>
    <w:p>
      <w:r>
        <w:t>均线：MA20 43.60；MA50 41.37；MA200 N/A。</w:t>
      </w:r>
    </w:p>
    <w:p>
      <w:r>
        <w:t>成交量：当日成交量 26243700；20日平均成交量 36773350；成交量倍数 0.71。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2026-09-28；当前价格 8.52；信号等级 C. 观察信号。</w:t>
      </w:r>
    </w:p>
    <w:p>
      <w:r>
        <w:t>BOLL：上轨 8.98；中轨 8.27；下轨 7.55；Bandwidth 17.28%。</w:t>
      </w:r>
    </w:p>
    <w:p>
      <w:r>
        <w:t>MACD：DIF 0.2046；DEA 0.1867；MACD柱 0.0179；是否死叉：是。</w:t>
      </w:r>
    </w:p>
    <w:p>
      <w:r>
        <w:t>RSI：RSI6 51.80；RSI12 54.11；RSI24 54.51。</w:t>
      </w:r>
    </w:p>
    <w:p>
      <w:r>
        <w:t>均线：MA20 8.27；MA50 7.85；MA200 N/A。</w:t>
      </w:r>
    </w:p>
    <w:p>
      <w:r>
        <w:t>成交量：当日成交量 10395300；20日平均成交量 10303355；成交量倍数 1.01。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862.84 的支撑或压力变化。</w:t>
      </w:r>
    </w:p>
    <w:p>
      <w:r>
        <w:t>ORCL：C.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142.37 的支撑或压力变化。</w:t>
      </w:r>
    </w:p>
    <w:p>
      <w:r>
        <w:t>IREN：C. 观察信号。触发条件：1. 启动前提：股价从近期高位跌破BOLL中轨；3. 跌破中轨日前后6个交易日内MACD出现死叉。当前属于观察信号，需要后续交易日确认是否继续走弱，同时关注 MA50 附近 41.37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7.85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