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- 2026-09-10</w:t>
      </w:r>
    </w:p>
    <w:p>
      <w:pPr>
        <w:pStyle w:val="ListBullet"/>
      </w:pPr>
      <w:r>
        <w:t>生成时间（美东）：2026-09-10 21:10:42 EDT</w:t>
      </w:r>
    </w:p>
    <w:p>
      <w:pPr>
        <w:pStyle w:val="ListBullet"/>
      </w:pPr>
      <w:r>
        <w:t>最新可用交易日：2026-09-10</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INSP</w:t>
            </w:r>
          </w:p>
        </w:tc>
        <w:tc>
          <w:tcPr>
            <w:tcW w:type="dxa" w:w="960"/>
          </w:tcPr>
          <w:p>
            <w:r>
              <w:t>Inspire Medical Systems, Inc.</w:t>
            </w:r>
          </w:p>
        </w:tc>
        <w:tc>
          <w:tcPr>
            <w:tcW w:type="dxa" w:w="960"/>
          </w:tcPr>
          <w:p>
            <w:r>
              <w:t>A 强信号</w:t>
            </w:r>
          </w:p>
        </w:tc>
        <w:tc>
          <w:tcPr>
            <w:tcW w:type="dxa" w:w="960"/>
          </w:tcPr>
          <w:p>
            <w:r>
              <w:t>布林带向上开口（最近5天）；成交量放大；放量突破上轨-强；低位形态</w:t>
            </w:r>
          </w:p>
        </w:tc>
        <w:tc>
          <w:tcPr>
            <w:tcW w:type="dxa" w:w="960"/>
          </w:tcPr>
          <w:p>
            <w:r>
              <w:t>突破上轨</w:t>
            </w:r>
          </w:p>
        </w:tc>
        <w:tc>
          <w:tcPr>
            <w:tcW w:type="dxa" w:w="960"/>
          </w:tcPr>
          <w:p>
            <w:r>
              <w:t>15.13%</w:t>
            </w:r>
          </w:p>
        </w:tc>
        <w:tc>
          <w:tcPr>
            <w:tcW w:type="dxa" w:w="960"/>
          </w:tcPr>
          <w:p>
            <w:r>
              <w:t>1.085</w:t>
            </w:r>
          </w:p>
        </w:tc>
        <w:tc>
          <w:tcPr>
            <w:tcW w:type="dxa" w:w="960"/>
          </w:tcPr>
          <w:p>
            <w:r>
              <w:t>2.34</w:t>
            </w:r>
          </w:p>
        </w:tc>
        <w:tc>
          <w:tcPr>
            <w:tcW w:type="dxa" w:w="960"/>
          </w:tcPr>
          <w:p>
            <w:r>
              <w:t>股价放量突破布林线上轨，说明短线多头动能较强，可能进入强势上涨阶段，但也要注意短线过热和回</w:t>
            </w:r>
          </w:p>
        </w:tc>
      </w:tr>
      <w:tr>
        <w:tc>
          <w:tcPr>
            <w:tcW w:type="dxa" w:w="960"/>
          </w:tcPr>
          <w:p>
            <w:r>
              <w:t>QCOM</w:t>
            </w:r>
          </w:p>
        </w:tc>
        <w:tc>
          <w:tcPr>
            <w:tcW w:type="dxa" w:w="960"/>
          </w:tcPr>
          <w:p>
            <w:r>
              <w:t>QUALCOMM Incorporated</w:t>
            </w:r>
          </w:p>
        </w:tc>
        <w:tc>
          <w:tcPr>
            <w:tcW w:type="dxa" w:w="960"/>
          </w:tcPr>
          <w:p>
            <w:r>
              <w:t>A 强信号</w:t>
            </w:r>
          </w:p>
        </w:tc>
        <w:tc>
          <w:tcPr>
            <w:tcW w:type="dxa" w:w="960"/>
          </w:tcPr>
          <w:p>
            <w:r>
              <w:t>布林带向上开口（最近5天）；成交量放大；放量突破上轨-中；连续2日站上上轨</w:t>
            </w:r>
          </w:p>
        </w:tc>
        <w:tc>
          <w:tcPr>
            <w:tcW w:type="dxa" w:w="960"/>
          </w:tcPr>
          <w:p>
            <w:r>
              <w:t>突破上轨</w:t>
            </w:r>
          </w:p>
        </w:tc>
        <w:tc>
          <w:tcPr>
            <w:tcW w:type="dxa" w:w="960"/>
          </w:tcPr>
          <w:p>
            <w:r>
              <w:t>11.35%</w:t>
            </w:r>
          </w:p>
        </w:tc>
        <w:tc>
          <w:tcPr>
            <w:tcW w:type="dxa" w:w="960"/>
          </w:tcPr>
          <w:p>
            <w:r>
              <w:t>1.092</w:t>
            </w:r>
          </w:p>
        </w:tc>
        <w:tc>
          <w:tcPr>
            <w:tcW w:type="dxa" w:w="960"/>
          </w:tcPr>
          <w:p>
            <w:r>
              <w:t>1.43</w:t>
            </w:r>
          </w:p>
        </w:tc>
        <w:tc>
          <w:tcPr>
            <w:tcW w:type="dxa" w:w="960"/>
          </w:tcPr>
          <w:p>
            <w:r>
              <w:t>股价放量突破布林线上轨，说明短线多头动能较强，可能进入强势上涨阶段，但也要注意短线过热和回</w:t>
            </w:r>
          </w:p>
        </w:tc>
      </w:tr>
      <w:tr>
        <w:tc>
          <w:tcPr>
            <w:tcW w:type="dxa" w:w="960"/>
          </w:tcPr>
          <w:p>
            <w:r>
              <w:t>AMD</w:t>
            </w:r>
          </w:p>
        </w:tc>
        <w:tc>
          <w:tcPr>
            <w:tcW w:type="dxa" w:w="960"/>
          </w:tcPr>
          <w:p>
            <w:r>
              <w:t>Advanced Micro Devices</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15.55%</w:t>
            </w:r>
          </w:p>
        </w:tc>
        <w:tc>
          <w:tcPr>
            <w:tcW w:type="dxa" w:w="960"/>
          </w:tcPr>
          <w:p>
            <w:r>
              <w:t>1.060</w:t>
            </w:r>
          </w:p>
        </w:tc>
        <w:tc>
          <w:tcPr>
            <w:tcW w:type="dxa" w:w="960"/>
          </w:tcPr>
          <w:p>
            <w:r>
              <w:t>1.22</w:t>
            </w:r>
          </w:p>
        </w:tc>
        <w:tc>
          <w:tcPr>
            <w:tcW w:type="dxa" w:w="960"/>
          </w:tcPr>
          <w:p>
            <w:r>
              <w:t>股价突破布林线上轨，但成交量确认不足，可能是假突破，需要下一交易日确认。</w:t>
            </w:r>
          </w:p>
        </w:tc>
      </w:tr>
      <w:tr>
        <w:tc>
          <w:tcPr>
            <w:tcW w:type="dxa" w:w="960"/>
          </w:tcPr>
          <w:p>
            <w:r>
              <w:t>POET</w:t>
            </w:r>
          </w:p>
        </w:tc>
        <w:tc>
          <w:tcPr>
            <w:tcW w:type="dxa" w:w="960"/>
          </w:tcPr>
          <w:p>
            <w:r>
              <w:t>POET Technologies</w:t>
            </w:r>
          </w:p>
        </w:tc>
        <w:tc>
          <w:tcPr>
            <w:tcW w:type="dxa" w:w="960"/>
          </w:tcPr>
          <w:p>
            <w:r>
              <w:t>C 观察信号</w:t>
            </w:r>
          </w:p>
        </w:tc>
        <w:tc>
          <w:tcPr>
            <w:tcW w:type="dxa" w:w="960"/>
          </w:tcPr>
          <w:p>
            <w:r>
              <w:t>弱收口：Bandwidth连续10天维持低于近8个月30%分位；中轨附近窄幅震荡；低位形态</w:t>
            </w:r>
          </w:p>
        </w:tc>
        <w:tc>
          <w:tcPr>
            <w:tcW w:type="dxa" w:w="960"/>
          </w:tcPr>
          <w:p>
            <w:r>
              <w:t>中轨附近</w:t>
            </w:r>
          </w:p>
        </w:tc>
        <w:tc>
          <w:tcPr>
            <w:tcW w:type="dxa" w:w="960"/>
          </w:tcPr>
          <w:p>
            <w:r>
              <w:t>32.15%</w:t>
            </w:r>
          </w:p>
        </w:tc>
        <w:tc>
          <w:tcPr>
            <w:tcW w:type="dxa" w:w="960"/>
          </w:tcPr>
          <w:p>
            <w:r>
              <w:t>0.439</w:t>
            </w:r>
          </w:p>
        </w:tc>
        <w:tc>
          <w:tcPr>
            <w:tcW w:type="dxa" w:w="960"/>
          </w:tcPr>
          <w:p>
            <w:r>
              <w:t>0.92</w:t>
            </w:r>
          </w:p>
        </w:tc>
        <w:tc>
          <w:tcPr>
            <w:tcW w:type="dxa" w:w="960"/>
          </w:tcPr>
          <w:p>
            <w:r>
              <w:t>布林带收口，说明波动率下降，股价可能处于蓄势阶段，但方向尚未确认。</w:t>
            </w:r>
          </w:p>
        </w:tc>
      </w:tr>
      <w:tr>
        <w:tc>
          <w:tcPr>
            <w:tcW w:type="dxa" w:w="960"/>
          </w:tcPr>
          <w:p>
            <w:r>
              <w:t>MU</w:t>
            </w:r>
          </w:p>
        </w:tc>
        <w:tc>
          <w:tcPr>
            <w:tcW w:type="dxa" w:w="960"/>
          </w:tcPr>
          <w:p>
            <w:r>
              <w:t>Micron Technology, Inc.</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13.69%</w:t>
            </w:r>
          </w:p>
        </w:tc>
        <w:tc>
          <w:tcPr>
            <w:tcW w:type="dxa" w:w="960"/>
          </w:tcPr>
          <w:p>
            <w:r>
              <w:t>1.030</w:t>
            </w:r>
          </w:p>
        </w:tc>
        <w:tc>
          <w:tcPr>
            <w:tcW w:type="dxa" w:w="960"/>
          </w:tcPr>
          <w:p>
            <w:r>
              <w:t>0.87</w:t>
            </w:r>
          </w:p>
        </w:tc>
        <w:tc>
          <w:tcPr>
            <w:tcW w:type="dxa" w:w="960"/>
          </w:tcPr>
          <w:p>
            <w:r>
              <w:t>股价突破布林线上轨，但成交量确认不足，可能是假突破，需要下一交易日确认。</w:t>
            </w:r>
          </w:p>
        </w:tc>
      </w:tr>
      <w:tr>
        <w:tc>
          <w:tcPr>
            <w:tcW w:type="dxa" w:w="960"/>
          </w:tcPr>
          <w:p>
            <w:r>
              <w:t>OKLO</w:t>
            </w:r>
          </w:p>
        </w:tc>
        <w:tc>
          <w:tcPr>
            <w:tcW w:type="dxa" w:w="960"/>
          </w:tcPr>
          <w:p>
            <w:r>
              <w:t>Oklo</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19.24%</w:t>
            </w:r>
          </w:p>
        </w:tc>
        <w:tc>
          <w:tcPr>
            <w:tcW w:type="dxa" w:w="960"/>
          </w:tcPr>
          <w:p>
            <w:r>
              <w:t>0.560</w:t>
            </w:r>
          </w:p>
        </w:tc>
        <w:tc>
          <w:tcPr>
            <w:tcW w:type="dxa" w:w="960"/>
          </w:tcPr>
          <w:p>
            <w:r>
              <w:t>0.86</w:t>
            </w:r>
          </w:p>
        </w:tc>
        <w:tc>
          <w:tcPr>
            <w:tcW w:type="dxa" w:w="960"/>
          </w:tcPr>
          <w:p>
            <w:r>
              <w:t>布林带收口，说明波动率下降，股价可能处于蓄势阶段，但方向尚未确认。</w:t>
            </w:r>
          </w:p>
        </w:tc>
      </w:tr>
      <w:tr>
        <w:tc>
          <w:tcPr>
            <w:tcW w:type="dxa" w:w="960"/>
          </w:tcPr>
          <w:p>
            <w:r>
              <w:t>ASTS</w:t>
            </w:r>
          </w:p>
        </w:tc>
        <w:tc>
          <w:tcPr>
            <w:tcW w:type="dxa" w:w="960"/>
          </w:tcPr>
          <w:p>
            <w:r>
              <w:t>AST SpaceMobile</w:t>
            </w:r>
          </w:p>
        </w:tc>
        <w:tc>
          <w:tcPr>
            <w:tcW w:type="dxa" w:w="960"/>
          </w:tcPr>
          <w:p>
            <w:r>
              <w:t>C 观察信号</w:t>
            </w:r>
          </w:p>
        </w:tc>
        <w:tc>
          <w:tcPr>
            <w:tcW w:type="dxa" w:w="960"/>
          </w:tcPr>
          <w:p>
            <w:r>
              <w:t>弱收口：Bandwidth连续11天维持低于近8个月30%分位；中轨附近窄幅震荡；低位形态</w:t>
            </w:r>
          </w:p>
        </w:tc>
        <w:tc>
          <w:tcPr>
            <w:tcW w:type="dxa" w:w="960"/>
          </w:tcPr>
          <w:p>
            <w:r>
              <w:t>中轨附近</w:t>
            </w:r>
          </w:p>
        </w:tc>
        <w:tc>
          <w:tcPr>
            <w:tcW w:type="dxa" w:w="960"/>
          </w:tcPr>
          <w:p>
            <w:r>
              <w:t>30.06%</w:t>
            </w:r>
          </w:p>
        </w:tc>
        <w:tc>
          <w:tcPr>
            <w:tcW w:type="dxa" w:w="960"/>
          </w:tcPr>
          <w:p>
            <w:r>
              <w:t>0.395</w:t>
            </w:r>
          </w:p>
        </w:tc>
        <w:tc>
          <w:tcPr>
            <w:tcW w:type="dxa" w:w="960"/>
          </w:tcPr>
          <w:p>
            <w:r>
              <w:t>0.85</w:t>
            </w:r>
          </w:p>
        </w:tc>
        <w:tc>
          <w:tcPr>
            <w:tcW w:type="dxa" w:w="960"/>
          </w:tcPr>
          <w:p>
            <w:r>
              <w:t>布林带收口，说明波动率下降，股价可能处于蓄势阶段，但方向尚未确认。</w:t>
            </w:r>
          </w:p>
        </w:tc>
      </w:tr>
      <w:tr>
        <w:tc>
          <w:tcPr>
            <w:tcW w:type="dxa" w:w="960"/>
          </w:tcPr>
          <w:p>
            <w:r>
              <w:t>LRCX</w:t>
            </w:r>
          </w:p>
        </w:tc>
        <w:tc>
          <w:tcPr>
            <w:tcW w:type="dxa" w:w="960"/>
          </w:tcPr>
          <w:p>
            <w:r>
              <w:t>Lam Research Corporation</w:t>
            </w:r>
          </w:p>
        </w:tc>
        <w:tc>
          <w:tcPr>
            <w:tcW w:type="dxa" w:w="960"/>
          </w:tcPr>
          <w:p>
            <w:r>
              <w:t>C 观察信号</w:t>
            </w:r>
          </w:p>
        </w:tc>
        <w:tc>
          <w:tcPr>
            <w:tcW w:type="dxa" w:w="960"/>
          </w:tcPr>
          <w:p>
            <w:r>
              <w:t>弱收口：Bandwidth连续10天维持低于近8个月30%分位；中轨附近窄幅震荡</w:t>
            </w:r>
          </w:p>
        </w:tc>
        <w:tc>
          <w:tcPr>
            <w:tcW w:type="dxa" w:w="960"/>
          </w:tcPr>
          <w:p>
            <w:r>
              <w:t>中轨附近</w:t>
            </w:r>
          </w:p>
        </w:tc>
        <w:tc>
          <w:tcPr>
            <w:tcW w:type="dxa" w:w="960"/>
          </w:tcPr>
          <w:p>
            <w:r>
              <w:t>18.61%</w:t>
            </w:r>
          </w:p>
        </w:tc>
        <w:tc>
          <w:tcPr>
            <w:tcW w:type="dxa" w:w="960"/>
          </w:tcPr>
          <w:p>
            <w:r>
              <w:t>0.537</w:t>
            </w:r>
          </w:p>
        </w:tc>
        <w:tc>
          <w:tcPr>
            <w:tcW w:type="dxa" w:w="960"/>
          </w:tcPr>
          <w:p>
            <w:r>
              <w:t>0.75</w:t>
            </w:r>
          </w:p>
        </w:tc>
        <w:tc>
          <w:tcPr>
            <w:tcW w:type="dxa" w:w="960"/>
          </w:tcPr>
          <w:p>
            <w:r>
              <w:t>布林带收口，说明波动率下降，股价可能处于蓄势阶段，但方向尚未确认。</w:t>
            </w:r>
          </w:p>
        </w:tc>
      </w:tr>
      <w:tr>
        <w:tc>
          <w:tcPr>
            <w:tcW w:type="dxa" w:w="960"/>
          </w:tcPr>
          <w:p>
            <w:r>
              <w:t>SMR</w:t>
            </w:r>
          </w:p>
        </w:tc>
        <w:tc>
          <w:tcPr>
            <w:tcW w:type="dxa" w:w="960"/>
          </w:tcPr>
          <w:p>
            <w:r>
              <w:t>NuScale Power</w:t>
            </w:r>
          </w:p>
        </w:tc>
        <w:tc>
          <w:tcPr>
            <w:tcW w:type="dxa" w:w="960"/>
          </w:tcPr>
          <w:p>
            <w:r>
              <w:t>C 观察信号</w:t>
            </w:r>
          </w:p>
        </w:tc>
        <w:tc>
          <w:tcPr>
            <w:tcW w:type="dxa" w:w="960"/>
          </w:tcPr>
          <w:p>
            <w:r>
              <w:t>突破上轨但量能不足-弱；连续2日站上上轨；低位形态</w:t>
            </w:r>
          </w:p>
        </w:tc>
        <w:tc>
          <w:tcPr>
            <w:tcW w:type="dxa" w:w="960"/>
          </w:tcPr>
          <w:p>
            <w:r>
              <w:t>突破上轨</w:t>
            </w:r>
          </w:p>
        </w:tc>
        <w:tc>
          <w:tcPr>
            <w:tcW w:type="dxa" w:w="960"/>
          </w:tcPr>
          <w:p>
            <w:r>
              <w:t>23.68%</w:t>
            </w:r>
          </w:p>
        </w:tc>
        <w:tc>
          <w:tcPr>
            <w:tcW w:type="dxa" w:w="960"/>
          </w:tcPr>
          <w:p>
            <w:r>
              <w:t>1.056</w:t>
            </w:r>
          </w:p>
        </w:tc>
        <w:tc>
          <w:tcPr>
            <w:tcW w:type="dxa" w:w="960"/>
          </w:tcPr>
          <w:p>
            <w:r>
              <w:t>0.67</w:t>
            </w:r>
          </w:p>
        </w:tc>
        <w:tc>
          <w:tcPr>
            <w:tcW w:type="dxa" w:w="960"/>
          </w:tcPr>
          <w:p>
            <w:r>
              <w:t>股价突破布林线上轨，但成交量确认不足，可能是假突破，需要下一交易日确认。</w:t>
            </w:r>
          </w:p>
        </w:tc>
      </w:tr>
      <w:tr>
        <w:tc>
          <w:tcPr>
            <w:tcW w:type="dxa" w:w="960"/>
          </w:tcPr>
          <w:p>
            <w:r>
              <w:t>CCJ</w:t>
            </w:r>
          </w:p>
        </w:tc>
        <w:tc>
          <w:tcPr>
            <w:tcW w:type="dxa" w:w="960"/>
          </w:tcPr>
          <w:p>
            <w:r>
              <w:t>Cameco Corporation</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13.82%</w:t>
            </w:r>
          </w:p>
        </w:tc>
        <w:tc>
          <w:tcPr>
            <w:tcW w:type="dxa" w:w="960"/>
          </w:tcPr>
          <w:p>
            <w:r>
              <w:t>0.518</w:t>
            </w:r>
          </w:p>
        </w:tc>
        <w:tc>
          <w:tcPr>
            <w:tcW w:type="dxa" w:w="960"/>
          </w:tcPr>
          <w:p>
            <w:r>
              <w:t>0.64</w:t>
            </w:r>
          </w:p>
        </w:tc>
        <w:tc>
          <w:tcPr>
            <w:tcW w:type="dxa" w:w="960"/>
          </w:tcPr>
          <w:p>
            <w:r>
              <w:t>布林带收口，说明波动率下降，股价可能处于蓄势阶段，但方向尚未确认。</w:t>
            </w:r>
          </w:p>
        </w:tc>
      </w:tr>
      <w:tr>
        <w:tc>
          <w:tcPr>
            <w:tcW w:type="dxa" w:w="960"/>
          </w:tcPr>
          <w:p>
            <w:r>
              <w:t>MSFT</w:t>
            </w:r>
          </w:p>
        </w:tc>
        <w:tc>
          <w:tcPr>
            <w:tcW w:type="dxa" w:w="960"/>
          </w:tcPr>
          <w:p>
            <w:r>
              <w:t>Microsoft Corporation</w:t>
            </w:r>
          </w:p>
        </w:tc>
        <w:tc>
          <w:tcPr>
            <w:tcW w:type="dxa" w:w="960"/>
          </w:tcPr>
          <w:p>
            <w:r>
              <w:t>C 观察信号</w:t>
            </w:r>
          </w:p>
        </w:tc>
        <w:tc>
          <w:tcPr>
            <w:tcW w:type="dxa" w:w="960"/>
          </w:tcPr>
          <w:p>
            <w:r>
              <w:t>弱收口：Bandwidth连续9天维持低于近8个月30%分位；中轨附近窄幅震荡</w:t>
            </w:r>
          </w:p>
        </w:tc>
        <w:tc>
          <w:tcPr>
            <w:tcW w:type="dxa" w:w="960"/>
          </w:tcPr>
          <w:p>
            <w:r>
              <w:t>中轨附近</w:t>
            </w:r>
          </w:p>
        </w:tc>
        <w:tc>
          <w:tcPr>
            <w:tcW w:type="dxa" w:w="960"/>
          </w:tcPr>
          <w:p>
            <w:r>
              <w:t>7.70%</w:t>
            </w:r>
          </w:p>
        </w:tc>
        <w:tc>
          <w:tcPr>
            <w:tcW w:type="dxa" w:w="960"/>
          </w:tcPr>
          <w:p>
            <w:r>
              <w:t>0.425</w:t>
            </w:r>
          </w:p>
        </w:tc>
        <w:tc>
          <w:tcPr>
            <w:tcW w:type="dxa" w:w="960"/>
          </w:tcPr>
          <w:p>
            <w:r>
              <w:t>0.59</w:t>
            </w:r>
          </w:p>
        </w:tc>
        <w:tc>
          <w:tcPr>
            <w:tcW w:type="dxa" w:w="960"/>
          </w:tcPr>
          <w:p>
            <w:r>
              <w:t>布林带收口，说明波动率下降，股价可能处于蓄势阶段，但方向尚未确认。</w:t>
            </w:r>
          </w:p>
        </w:tc>
      </w:tr>
    </w:tbl>
    <w:p>
      <w:pPr>
        <w:pStyle w:val="Heading2"/>
      </w:pPr>
      <w:r>
        <w:t>二、重点结论</w:t>
      </w:r>
    </w:p>
    <w:p>
      <w:pPr>
        <w:pStyle w:val="ListBullet"/>
      </w:pPr>
      <w:r>
        <w:t>强信号：INSP, QCOM。</w:t>
      </w:r>
    </w:p>
    <w:p>
      <w:pPr>
        <w:pStyle w:val="ListBullet"/>
      </w:pPr>
      <w:r>
        <w:t>中等信号：无。</w:t>
      </w:r>
    </w:p>
    <w:p>
      <w:pPr>
        <w:pStyle w:val="ListBullet"/>
      </w:pPr>
      <w:r>
        <w:t>观察信号：AMD, POET, MU, OKLO, ASTS, LRCX, SMR, CCJ, MSFT。</w:t>
      </w:r>
    </w:p>
    <w:p>
      <w:pPr>
        <w:pStyle w:val="ListBullet"/>
      </w:pPr>
      <w:r>
        <w:t>今日优先复核：INSP, QCOM, AMD, POET, MU。优先看是否放量、能否站稳上轨或中轨。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INSP - Inspire Medical Systems, Inc.</w:t>
      </w:r>
    </w:p>
    <w:p>
      <w:pPr>
        <w:pStyle w:val="ListBullet"/>
      </w:pPr>
      <w:r>
        <w:t>信号等级：A 强信号</w:t>
      </w:r>
    </w:p>
    <w:p>
      <w:pPr>
        <w:pStyle w:val="ListBullet"/>
      </w:pPr>
      <w:r>
        <w:t>最新收盘价：$66.48</w:t>
      </w:r>
    </w:p>
    <w:p>
      <w:pPr>
        <w:pStyle w:val="ListBullet"/>
      </w:pPr>
      <w:r>
        <w:t>BOLL：上轨 $65.70；中轨 $61.08；下轨 $56.46</w:t>
      </w:r>
    </w:p>
    <w:p>
      <w:pPr>
        <w:pStyle w:val="ListBullet"/>
      </w:pPr>
      <w:r>
        <w:t>Bandwidth：15.13%；历史分位：23.81%；%B：1.085</w:t>
      </w:r>
    </w:p>
    <w:p>
      <w:pPr>
        <w:pStyle w:val="ListBullet"/>
      </w:pPr>
      <w:r>
        <w:t>成交量：当日 1196900；20日均量 511445；量比 2.34</w:t>
      </w:r>
    </w:p>
    <w:p>
      <w:pPr>
        <w:pStyle w:val="ListBullet"/>
      </w:pPr>
      <w:r>
        <w:t>触发信号：布林带向上开口（最近5天）；成交量放大；放量突破上轨-强；低位形态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QCOM - QUALCOMM Incorporated</w:t>
      </w:r>
    </w:p>
    <w:p>
      <w:pPr>
        <w:pStyle w:val="ListBullet"/>
      </w:pPr>
      <w:r>
        <w:t>信号等级：A 强信号</w:t>
      </w:r>
    </w:p>
    <w:p>
      <w:pPr>
        <w:pStyle w:val="ListBullet"/>
      </w:pPr>
      <w:r>
        <w:t>最新收盘价：$176.40</w:t>
      </w:r>
    </w:p>
    <w:p>
      <w:pPr>
        <w:pStyle w:val="ListBullet"/>
      </w:pPr>
      <w:r>
        <w:t>BOLL：上轨 $174.68；中轨 $165.30；下轨 $155.92</w:t>
      </w:r>
    </w:p>
    <w:p>
      <w:pPr>
        <w:pStyle w:val="ListBullet"/>
      </w:pPr>
      <w:r>
        <w:t>Bandwidth：11.35%；历史分位：22.62%；%B：1.092</w:t>
      </w:r>
    </w:p>
    <w:p>
      <w:pPr>
        <w:pStyle w:val="ListBullet"/>
      </w:pPr>
      <w:r>
        <w:t>成交量：当日 14802000；20日均量 10363415；量比 1.43</w:t>
      </w:r>
    </w:p>
    <w:p>
      <w:pPr>
        <w:pStyle w:val="ListBullet"/>
      </w:pPr>
      <w:r>
        <w:t>触发信号：布林带向上开口（最近5天）；成交量放大；放量突破上轨-中；连续2日站上上轨</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AMD - Advanced Micro Devices</w:t>
      </w:r>
    </w:p>
    <w:p>
      <w:pPr>
        <w:pStyle w:val="ListBullet"/>
      </w:pPr>
      <w:r>
        <w:t>信号等级：C 观察信号</w:t>
      </w:r>
    </w:p>
    <w:p>
      <w:pPr>
        <w:pStyle w:val="ListBullet"/>
      </w:pPr>
      <w:r>
        <w:t>最新收盘价：$521.10</w:t>
      </w:r>
    </w:p>
    <w:p>
      <w:pPr>
        <w:pStyle w:val="ListBullet"/>
      </w:pPr>
      <w:r>
        <w:t>BOLL：上轨 $516.61；中轨 $479.35；下轨 $442.08</w:t>
      </w:r>
    </w:p>
    <w:p>
      <w:pPr>
        <w:pStyle w:val="ListBullet"/>
      </w:pPr>
      <w:r>
        <w:t>Bandwidth：15.55%；历史分位：28.57%；%B：1.060</w:t>
      </w:r>
    </w:p>
    <w:p>
      <w:pPr>
        <w:pStyle w:val="ListBullet"/>
      </w:pPr>
      <w:r>
        <w:t>成交量：当日 22152400；20日均量 18136075；量比 1.22</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POET - POET Technologies</w:t>
      </w:r>
    </w:p>
    <w:p>
      <w:pPr>
        <w:pStyle w:val="ListBullet"/>
      </w:pPr>
      <w:r>
        <w:t>信号等级：C 观察信号</w:t>
      </w:r>
    </w:p>
    <w:p>
      <w:pPr>
        <w:pStyle w:val="ListBullet"/>
      </w:pPr>
      <w:r>
        <w:t>最新收盘价：$8.00</w:t>
      </w:r>
    </w:p>
    <w:p>
      <w:pPr>
        <w:pStyle w:val="ListBullet"/>
      </w:pPr>
      <w:r>
        <w:t>BOLL：上轨 $9.47；中轨 $8.16；下轨 $6.85</w:t>
      </w:r>
    </w:p>
    <w:p>
      <w:pPr>
        <w:pStyle w:val="ListBullet"/>
      </w:pPr>
      <w:r>
        <w:t>Bandwidth：32.15%；历史分位：16.67%；%B：0.439</w:t>
      </w:r>
    </w:p>
    <w:p>
      <w:pPr>
        <w:pStyle w:val="ListBullet"/>
      </w:pPr>
      <w:r>
        <w:t>成交量：当日 8645000；20日均量 9444410；量比 0.92</w:t>
      </w:r>
    </w:p>
    <w:p>
      <w:pPr>
        <w:pStyle w:val="ListBullet"/>
      </w:pPr>
      <w:r>
        <w:t>触发信号：弱收口：Bandwidth连续10天维持低于近8个月30%分位；中轨附近窄幅震荡；低位形态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MU - Micron Technology, Inc.</w:t>
      </w:r>
    </w:p>
    <w:p>
      <w:pPr>
        <w:pStyle w:val="ListBullet"/>
      </w:pPr>
      <w:r>
        <w:t>信号等级：C 观察信号</w:t>
      </w:r>
    </w:p>
    <w:p>
      <w:pPr>
        <w:pStyle w:val="ListBullet"/>
      </w:pPr>
      <w:r>
        <w:t>最新收盘价：$1027.77</w:t>
      </w:r>
    </w:p>
    <w:p>
      <w:pPr>
        <w:pStyle w:val="ListBullet"/>
      </w:pPr>
      <w:r>
        <w:t>BOLL：上轨 $1023.82；中轨 $958.23；下轨 $892.64</w:t>
      </w:r>
    </w:p>
    <w:p>
      <w:pPr>
        <w:pStyle w:val="ListBullet"/>
      </w:pPr>
      <w:r>
        <w:t>Bandwidth：13.69%；历史分位：0.60%；%B：1.030</w:t>
      </w:r>
    </w:p>
    <w:p>
      <w:pPr>
        <w:pStyle w:val="ListBullet"/>
      </w:pPr>
      <w:r>
        <w:t>成交量：当日 23812000；20日均量 27365265；量比 0.87</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OKLO - Oklo</w:t>
      </w:r>
    </w:p>
    <w:p>
      <w:pPr>
        <w:pStyle w:val="ListBullet"/>
      </w:pPr>
      <w:r>
        <w:t>信号等级：C 观察信号</w:t>
      </w:r>
    </w:p>
    <w:p>
      <w:pPr>
        <w:pStyle w:val="ListBullet"/>
      </w:pPr>
      <w:r>
        <w:t>最新收盘价：$42.57</w:t>
      </w:r>
    </w:p>
    <w:p>
      <w:pPr>
        <w:pStyle w:val="ListBullet"/>
      </w:pPr>
      <w:r>
        <w:t>BOLL：上轨 $46.13；中轨 $42.09；下轨 $38.04</w:t>
      </w:r>
    </w:p>
    <w:p>
      <w:pPr>
        <w:pStyle w:val="ListBullet"/>
      </w:pPr>
      <w:r>
        <w:t>Bandwidth：19.24%；历史分位：4.17%；%B：0.560</w:t>
      </w:r>
    </w:p>
    <w:p>
      <w:pPr>
        <w:pStyle w:val="ListBullet"/>
      </w:pPr>
      <w:r>
        <w:t>成交量：当日 7690000；20日均量 8977790；量比 0.86</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ASTS - AST SpaceMobile</w:t>
      </w:r>
    </w:p>
    <w:p>
      <w:pPr>
        <w:pStyle w:val="ListBullet"/>
      </w:pPr>
      <w:r>
        <w:t>信号等级：C 观察信号</w:t>
      </w:r>
    </w:p>
    <w:p>
      <w:pPr>
        <w:pStyle w:val="ListBullet"/>
      </w:pPr>
      <w:r>
        <w:t>最新收盘价：$62.42</w:t>
      </w:r>
    </w:p>
    <w:p>
      <w:pPr>
        <w:pStyle w:val="ListBullet"/>
      </w:pPr>
      <w:r>
        <w:t>BOLL：上轨 $74.15；中轨 $64.46；下轨 $54.77</w:t>
      </w:r>
    </w:p>
    <w:p>
      <w:pPr>
        <w:pStyle w:val="ListBullet"/>
      </w:pPr>
      <w:r>
        <w:t>Bandwidth：30.06%；历史分位：21.43%；%B：0.395</w:t>
      </w:r>
    </w:p>
    <w:p>
      <w:pPr>
        <w:pStyle w:val="ListBullet"/>
      </w:pPr>
      <w:r>
        <w:t>成交量：当日 8297800；20日均量 9717190；量比 0.85</w:t>
      </w:r>
    </w:p>
    <w:p>
      <w:pPr>
        <w:pStyle w:val="ListBullet"/>
      </w:pPr>
      <w:r>
        <w:t>触发信号：弱收口：Bandwidth连续11天维持低于近8个月30%分位；中轨附近窄幅震荡；低位形态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LRCX - Lam Research Corporation</w:t>
      </w:r>
    </w:p>
    <w:p>
      <w:pPr>
        <w:pStyle w:val="ListBullet"/>
      </w:pPr>
      <w:r>
        <w:t>信号等级：C 观察信号</w:t>
      </w:r>
    </w:p>
    <w:p>
      <w:pPr>
        <w:pStyle w:val="ListBullet"/>
      </w:pPr>
      <w:r>
        <w:t>最新收盘价：$315.84</w:t>
      </w:r>
    </w:p>
    <w:p>
      <w:pPr>
        <w:pStyle w:val="ListBullet"/>
      </w:pPr>
      <w:r>
        <w:t>BOLL：上轨 $342.88；中轨 $313.69；下轨 $284.49</w:t>
      </w:r>
    </w:p>
    <w:p>
      <w:pPr>
        <w:pStyle w:val="ListBullet"/>
      </w:pPr>
      <w:r>
        <w:t>Bandwidth：18.61%；历史分位：20.83%；%B：0.537</w:t>
      </w:r>
    </w:p>
    <w:p>
      <w:pPr>
        <w:pStyle w:val="ListBullet"/>
      </w:pPr>
      <w:r>
        <w:t>成交量：当日 5580100；20日均量 7459650；量比 0.75</w:t>
      </w:r>
    </w:p>
    <w:p>
      <w:pPr>
        <w:pStyle w:val="ListBullet"/>
      </w:pPr>
      <w:r>
        <w:t>触发信号：弱收口：Bandwidth连续10天维持低于近8个月30%分位；中轨附近窄幅震荡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SMR - NuScale Power</w:t>
      </w:r>
    </w:p>
    <w:p>
      <w:pPr>
        <w:pStyle w:val="ListBullet"/>
      </w:pPr>
      <w:r>
        <w:t>信号等级：C 观察信号</w:t>
      </w:r>
    </w:p>
    <w:p>
      <w:pPr>
        <w:pStyle w:val="ListBullet"/>
      </w:pPr>
      <w:r>
        <w:t>最新收盘价：$10.81</w:t>
      </w:r>
    </w:p>
    <w:p>
      <w:pPr>
        <w:pStyle w:val="ListBullet"/>
      </w:pPr>
      <w:r>
        <w:t>BOLL：上轨 $10.68；中轨 $9.55；下轨 $8.42</w:t>
      </w:r>
    </w:p>
    <w:p>
      <w:pPr>
        <w:pStyle w:val="ListBullet"/>
      </w:pPr>
      <w:r>
        <w:t>Bandwidth：23.68%；历史分位：19.05%；%B：1.056</w:t>
      </w:r>
    </w:p>
    <w:p>
      <w:pPr>
        <w:pStyle w:val="ListBullet"/>
      </w:pPr>
      <w:r>
        <w:t>成交量：当日 22753400；20日均量 34031605；量比 0.67</w:t>
      </w:r>
    </w:p>
    <w:p>
      <w:pPr>
        <w:pStyle w:val="ListBullet"/>
      </w:pPr>
      <w:r>
        <w:t>触发信号：突破上轨但量能不足-弱；连续2日站上上轨；低位形态</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w:t>
      </w:r>
    </w:p>
    <w:p>
      <w:pPr>
        <w:pStyle w:val="Heading3"/>
      </w:pPr>
      <w:r>
        <w:t>CCJ - Cameco Corporation</w:t>
      </w:r>
    </w:p>
    <w:p>
      <w:pPr>
        <w:pStyle w:val="ListBullet"/>
      </w:pPr>
      <w:r>
        <w:t>信号等级：C 观察信号</w:t>
      </w:r>
    </w:p>
    <w:p>
      <w:pPr>
        <w:pStyle w:val="ListBullet"/>
      </w:pPr>
      <w:r>
        <w:t>最新收盘价：$100.41</w:t>
      </w:r>
    </w:p>
    <w:p>
      <w:pPr>
        <w:pStyle w:val="ListBullet"/>
      </w:pPr>
      <w:r>
        <w:t>BOLL：上轨 $107.09；中轨 $100.16；下轨 $93.24</w:t>
      </w:r>
    </w:p>
    <w:p>
      <w:pPr>
        <w:pStyle w:val="ListBullet"/>
      </w:pPr>
      <w:r>
        <w:t>Bandwidth：13.82%；历史分位：12.50%；%B：0.518</w:t>
      </w:r>
    </w:p>
    <w:p>
      <w:pPr>
        <w:pStyle w:val="ListBullet"/>
      </w:pPr>
      <w:r>
        <w:t>成交量：当日 1705400；20日均量 2655120；量比 0.64</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MSFT - Microsoft Corporation</w:t>
      </w:r>
    </w:p>
    <w:p>
      <w:pPr>
        <w:pStyle w:val="ListBullet"/>
      </w:pPr>
      <w:r>
        <w:t>信号等级：C 观察信号</w:t>
      </w:r>
    </w:p>
    <w:p>
      <w:pPr>
        <w:pStyle w:val="ListBullet"/>
      </w:pPr>
      <w:r>
        <w:t>最新收盘价：$491.65</w:t>
      </w:r>
    </w:p>
    <w:p>
      <w:pPr>
        <w:pStyle w:val="ListBullet"/>
      </w:pPr>
      <w:r>
        <w:t>BOLL：上轨 $513.54；中轨 $494.50；下轨 $475.45</w:t>
      </w:r>
    </w:p>
    <w:p>
      <w:pPr>
        <w:pStyle w:val="ListBullet"/>
      </w:pPr>
      <w:r>
        <w:t>Bandwidth：7.70%；历史分位：20.83%；%B：0.425</w:t>
      </w:r>
    </w:p>
    <w:p>
      <w:pPr>
        <w:pStyle w:val="ListBullet"/>
      </w:pPr>
      <w:r>
        <w:t>成交量：当日 12889600；20日均量 21873565；量比 0.59</w:t>
      </w:r>
    </w:p>
    <w:p>
      <w:pPr>
        <w:pStyle w:val="ListBullet"/>
      </w:pPr>
      <w:r>
        <w:t>触发信号：弱收口：Bandwidth连续9天维持低于近8个月30%分位；中轨附近窄幅震荡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p>
      <w:r>
        <w:t>未发现数据异常或无法判断的股票。</w:t>
      </w:r>
    </w:p>
    <w:p>
      <w:pPr>
        <w:pStyle w:val="Heading2"/>
      </w:pPr>
      <w:r>
        <w:t>五、无明显 BOLL 信号</w:t>
      </w:r>
    </w:p>
    <w:p>
      <w:r>
        <w:t>NOK（Nokia Oyj）, XE（X-energy）, RKLB（Rocket Lab USA）, NBIS（Nebius Group）, ARM（Arm Holdings）, OPTX（Syntec Optics Holdings）, GLW（Corning）, COHR（Coherent）, LITE（Lumentum Holdings）, MRVL（Marvell Technology）, INTC（Intel）, ALAB（Astera Labs）, FLNC（Fluence Energy）, CRWV（CoreWeave）, ORCL（Oracle）, NVTS（Navitas Semiconductor）, DELL（Dell Technologies）, BB（BlackBerry）, ONDS（Ondas Holdings）, IONQ（IonQ）, QBTS（D-Wave Quantum）, NVDA（NVIDIA）, AMZN（Amazon.com）, CRCL（Circle Internet Group）, FLY（Firefly Aerospace）, CBRS（Chain Bridge Bancorp）, CIEN（Ciena）, SIVEF（Sivers Semiconductors）, SHAZ（Shaz）, LUNR（Intuitive Machines）, AAOI（Applied Optoelectronics）, INOD（Innodata）, SPCX（Space Exploration Technologies）, RDW（Redwire Corporation）, COIN（Coinbase Global, Inc.）, CORZ（Core Scientific, Inc.）, IREN（IREN LIMITED）, VELO（Velo3D, Inc.）, GOOG（Alphabet Inc.）, AVGO（Broadcom Inc.）, AMAT（Applied Materials, Inc.）, AMKR（Amkor Technology, Inc.）, SNDK（Sandisk Corporation）, VICR（Vicor Corporation）, NNE（Nano Nuclear Energy Inc.）, BWAY（Brainsway Ltd.）, MANE（Veradermics, Incorporated）, QSI（Quantum-Si Incorporated）, CRSP（CRISPR Therapeutics AG）, IBRX（ImmunityBio, Inc.）</w:t>
      </w:r>
    </w:p>
    <w:p>
      <w:r>
        <w:br w:type="page"/>
      </w:r>
    </w:p>
    <w:p>
      <w:pPr>
        <w:pStyle w:val="Heading2"/>
      </w:pPr>
      <w:r>
        <w:t>六、触发股票 BOLL 图表</w:t>
      </w:r>
    </w:p>
    <w:p>
      <w:pPr>
        <w:pStyle w:val="Heading3"/>
      </w:pPr>
      <w:r>
        <w:t>INSP - Inspire Medical Systems, Inc.</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INSP_BOLL.png"/>
                    <pic:cNvPicPr/>
                  </pic:nvPicPr>
                  <pic:blipFill>
                    <a:blip r:embed="rId9"/>
                    <a:stretch>
                      <a:fillRect/>
                    </a:stretch>
                  </pic:blipFill>
                  <pic:spPr>
                    <a:xfrm>
                      <a:off x="0" y="0"/>
                      <a:ext cx="6035040" cy="4054793"/>
                    </a:xfrm>
                    <a:prstGeom prst="rect"/>
                  </pic:spPr>
                </pic:pic>
              </a:graphicData>
            </a:graphic>
          </wp:inline>
        </w:drawing>
      </w:r>
    </w:p>
    <w:p>
      <w:pPr>
        <w:pStyle w:val="Heading3"/>
      </w:pPr>
      <w:r>
        <w:t>QCOM - QUALCOMM Incorporated</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QCOM_BOLL.png"/>
                    <pic:cNvPicPr/>
                  </pic:nvPicPr>
                  <pic:blipFill>
                    <a:blip r:embed="rId10"/>
                    <a:stretch>
                      <a:fillRect/>
                    </a:stretch>
                  </pic:blipFill>
                  <pic:spPr>
                    <a:xfrm>
                      <a:off x="0" y="0"/>
                      <a:ext cx="6035040" cy="4054793"/>
                    </a:xfrm>
                    <a:prstGeom prst="rect"/>
                  </pic:spPr>
                </pic:pic>
              </a:graphicData>
            </a:graphic>
          </wp:inline>
        </w:drawing>
      </w:r>
    </w:p>
    <w:p>
      <w:pPr>
        <w:pStyle w:val="Heading3"/>
      </w:pPr>
      <w:r>
        <w:t>AMD - Advanced Micro Devices</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AMD_BOLL.png"/>
                    <pic:cNvPicPr/>
                  </pic:nvPicPr>
                  <pic:blipFill>
                    <a:blip r:embed="rId11"/>
                    <a:stretch>
                      <a:fillRect/>
                    </a:stretch>
                  </pic:blipFill>
                  <pic:spPr>
                    <a:xfrm>
                      <a:off x="0" y="0"/>
                      <a:ext cx="6035040" cy="4054793"/>
                    </a:xfrm>
                    <a:prstGeom prst="rect"/>
                  </pic:spPr>
                </pic:pic>
              </a:graphicData>
            </a:graphic>
          </wp:inline>
        </w:drawing>
      </w:r>
    </w:p>
    <w:p>
      <w:pPr>
        <w:pStyle w:val="Heading3"/>
      </w:pPr>
      <w:r>
        <w:t>POET - POET Technologies</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POET_BOLL.png"/>
                    <pic:cNvPicPr/>
                  </pic:nvPicPr>
                  <pic:blipFill>
                    <a:blip r:embed="rId12"/>
                    <a:stretch>
                      <a:fillRect/>
                    </a:stretch>
                  </pic:blipFill>
                  <pic:spPr>
                    <a:xfrm>
                      <a:off x="0" y="0"/>
                      <a:ext cx="6035040" cy="4054793"/>
                    </a:xfrm>
                    <a:prstGeom prst="rect"/>
                  </pic:spPr>
                </pic:pic>
              </a:graphicData>
            </a:graphic>
          </wp:inline>
        </w:drawing>
      </w:r>
    </w:p>
    <w:p>
      <w:pPr>
        <w:pStyle w:val="Heading3"/>
      </w:pPr>
      <w:r>
        <w:t>MU - Micron Technology, Inc.</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MU_BOLL.png"/>
                    <pic:cNvPicPr/>
                  </pic:nvPicPr>
                  <pic:blipFill>
                    <a:blip r:embed="rId13"/>
                    <a:stretch>
                      <a:fillRect/>
                    </a:stretch>
                  </pic:blipFill>
                  <pic:spPr>
                    <a:xfrm>
                      <a:off x="0" y="0"/>
                      <a:ext cx="6035040" cy="4054793"/>
                    </a:xfrm>
                    <a:prstGeom prst="rect"/>
                  </pic:spPr>
                </pic:pic>
              </a:graphicData>
            </a:graphic>
          </wp:inline>
        </w:drawing>
      </w:r>
    </w:p>
    <w:p>
      <w:pPr>
        <w:pStyle w:val="Heading3"/>
      </w:pPr>
      <w:r>
        <w:t>OKLO - Oklo</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OKLO_BOLL.png"/>
                    <pic:cNvPicPr/>
                  </pic:nvPicPr>
                  <pic:blipFill>
                    <a:blip r:embed="rId14"/>
                    <a:stretch>
                      <a:fillRect/>
                    </a:stretch>
                  </pic:blipFill>
                  <pic:spPr>
                    <a:xfrm>
                      <a:off x="0" y="0"/>
                      <a:ext cx="6035040" cy="4054793"/>
                    </a:xfrm>
                    <a:prstGeom prst="rect"/>
                  </pic:spPr>
                </pic:pic>
              </a:graphicData>
            </a:graphic>
          </wp:inline>
        </w:drawing>
      </w:r>
    </w:p>
    <w:p>
      <w:pPr>
        <w:pStyle w:val="Heading3"/>
      </w:pPr>
      <w:r>
        <w:t>ASTS - AST SpaceMobile</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ASTS_BOLL.png"/>
                    <pic:cNvPicPr/>
                  </pic:nvPicPr>
                  <pic:blipFill>
                    <a:blip r:embed="rId15"/>
                    <a:stretch>
                      <a:fillRect/>
                    </a:stretch>
                  </pic:blipFill>
                  <pic:spPr>
                    <a:xfrm>
                      <a:off x="0" y="0"/>
                      <a:ext cx="6035040" cy="4054793"/>
                    </a:xfrm>
                    <a:prstGeom prst="rect"/>
                  </pic:spPr>
                </pic:pic>
              </a:graphicData>
            </a:graphic>
          </wp:inline>
        </w:drawing>
      </w:r>
    </w:p>
    <w:p>
      <w:pPr>
        <w:pStyle w:val="Heading3"/>
      </w:pPr>
      <w:r>
        <w:t>LRCX - Lam Research Corporation</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LRCX_BOLL.png"/>
                    <pic:cNvPicPr/>
                  </pic:nvPicPr>
                  <pic:blipFill>
                    <a:blip r:embed="rId16"/>
                    <a:stretch>
                      <a:fillRect/>
                    </a:stretch>
                  </pic:blipFill>
                  <pic:spPr>
                    <a:xfrm>
                      <a:off x="0" y="0"/>
                      <a:ext cx="6035040" cy="4054793"/>
                    </a:xfrm>
                    <a:prstGeom prst="rect"/>
                  </pic:spPr>
                </pic:pic>
              </a:graphicData>
            </a:graphic>
          </wp:inline>
        </w:drawing>
      </w:r>
    </w:p>
    <w:p>
      <w:pPr>
        <w:pStyle w:val="Heading3"/>
      </w:pPr>
      <w:r>
        <w:t>SMR - NuScale Power</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SMR_BOLL.png"/>
                    <pic:cNvPicPr/>
                  </pic:nvPicPr>
                  <pic:blipFill>
                    <a:blip r:embed="rId17"/>
                    <a:stretch>
                      <a:fillRect/>
                    </a:stretch>
                  </pic:blipFill>
                  <pic:spPr>
                    <a:xfrm>
                      <a:off x="0" y="0"/>
                      <a:ext cx="6035040" cy="4054793"/>
                    </a:xfrm>
                    <a:prstGeom prst="rect"/>
                  </pic:spPr>
                </pic:pic>
              </a:graphicData>
            </a:graphic>
          </wp:inline>
        </w:drawing>
      </w:r>
    </w:p>
    <w:p>
      <w:pPr>
        <w:pStyle w:val="Heading3"/>
      </w:pPr>
      <w:r>
        <w:t>CCJ - Cameco Corporation</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CCJ_BOLL.png"/>
                    <pic:cNvPicPr/>
                  </pic:nvPicPr>
                  <pic:blipFill>
                    <a:blip r:embed="rId18"/>
                    <a:stretch>
                      <a:fillRect/>
                    </a:stretch>
                  </pic:blipFill>
                  <pic:spPr>
                    <a:xfrm>
                      <a:off x="0" y="0"/>
                      <a:ext cx="6035040" cy="4054793"/>
                    </a:xfrm>
                    <a:prstGeom prst="rect"/>
                  </pic:spPr>
                </pic:pic>
              </a:graphicData>
            </a:graphic>
          </wp:inline>
        </w:drawing>
      </w:r>
    </w:p>
    <w:p>
      <w:pPr>
        <w:pStyle w:val="Heading3"/>
      </w:pPr>
      <w:r>
        <w:t>MSFT - Microsoft Corporation</w:t>
      </w:r>
    </w:p>
    <w:p>
      <w:r>
        <w:drawing>
          <wp:inline xmlns:a="http://schemas.openxmlformats.org/drawingml/2006/main" xmlns:pic="http://schemas.openxmlformats.org/drawingml/2006/picture">
            <wp:extent cx="6035040" cy="4054793"/>
            <wp:docPr id="11" name="Picture 11"/>
            <wp:cNvGraphicFramePr>
              <a:graphicFrameLocks noChangeAspect="1"/>
            </wp:cNvGraphicFramePr>
            <a:graphic>
              <a:graphicData uri="http://schemas.openxmlformats.org/drawingml/2006/picture">
                <pic:pic>
                  <pic:nvPicPr>
                    <pic:cNvPr id="0" name="MSFT_BOLL.png"/>
                    <pic:cNvPicPr/>
                  </pic:nvPicPr>
                  <pic:blipFill>
                    <a:blip r:embed="rId19"/>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