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报告日期：2026-09-09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NNE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18.17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跌破中轨日前后6个交易日内MACD出现死叉；5. 近3-5日BOLL带张口，且中轨向下；6. 近3-5日上轨、中轨、下轨同时向下</w:t>
            </w:r>
          </w:p>
        </w:tc>
      </w:tr>
      <w:tr>
        <w:tc>
          <w:tcPr>
            <w:tcW w:type="dxa" w:w="2160"/>
          </w:tcPr>
          <w:p>
            <w:r>
              <w:t>LITE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988.98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ORCL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161.63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CCJ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100.41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CRSP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53.45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NNE</w:t>
      </w:r>
    </w:p>
    <w:p>
      <w:r>
        <w:t>基础信息：日期 2026-09-09；当前价格 18.17；信号等级 A. 强信号。</w:t>
      </w:r>
    </w:p>
    <w:p>
      <w:r>
        <w:t>BOLL：上轨 20.23；中轨 18.64；下轨 17.04；Bandwidth 17.11%。</w:t>
      </w:r>
    </w:p>
    <w:p>
      <w:r>
        <w:t>MACD：DIF -0.1225；DEA -0.1236；MACD柱 0.0012；是否死叉：是。</w:t>
      </w:r>
    </w:p>
    <w:p>
      <w:r>
        <w:t>RSI：RSI6 48.51；RSI12 48.79；RSI24 47.94。</w:t>
      </w:r>
    </w:p>
    <w:p>
      <w:r>
        <w:t>均线：MA20 18.64；MA50 18.18；MA200 N/A。</w:t>
      </w:r>
    </w:p>
    <w:p>
      <w:r>
        <w:t>成交量：当日成交量 1510700；20日平均成交量 1711645；成交量倍数 0.88。</w:t>
      </w:r>
    </w:p>
    <w:p>
      <w:r>
        <w:t>触发条件：1. 启动前提：股价从近期高位跌破BOLL中轨；3. 跌破中轨日前后6个交易日内MACD出现死叉；5. 近3-5日BOLL带张口，且中轨向下；6.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LITE</w:t>
      </w:r>
    </w:p>
    <w:p>
      <w:r>
        <w:t>基础信息：日期 2026-09-09；当前价格 988.98；信号等级 C. 观察信号。</w:t>
      </w:r>
    </w:p>
    <w:p>
      <w:r>
        <w:t>BOLL：上轨 993.72；中轨 900.56；下轨 807.40；Bandwidth 20.69%。</w:t>
      </w:r>
    </w:p>
    <w:p>
      <w:r>
        <w:t>MACD：DIF 28.7126；DEA 23.6703；MACD柱 5.0423；是否死叉：是。</w:t>
      </w:r>
    </w:p>
    <w:p>
      <w:r>
        <w:t>RSI：RSI6 69.84；RSI12 61.32；RSI24 55.98。</w:t>
      </w:r>
    </w:p>
    <w:p>
      <w:r>
        <w:t>均线：MA20 900.56；MA50 822.37；MA200 N/A。</w:t>
      </w:r>
    </w:p>
    <w:p>
      <w:r>
        <w:t>成交量：当日成交量 4539800；20日平均成交量 4612955；成交量倍数 0.98。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ORCL</w:t>
      </w:r>
    </w:p>
    <w:p>
      <w:r>
        <w:t>基础信息：日期 2026-09-09；当前价格 161.63；信号等级 C. 观察信号。</w:t>
      </w:r>
    </w:p>
    <w:p>
      <w:r>
        <w:t>BOLL：上轨 162.30；中轨 149.69；下轨 137.09；Bandwidth 16.84%。</w:t>
      </w:r>
    </w:p>
    <w:p>
      <w:r>
        <w:t>MACD：DIF 3.9705；DEA 2.3550；MACD柱 1.6155；是否死叉：是。</w:t>
      </w:r>
    </w:p>
    <w:p>
      <w:r>
        <w:t>RSI：RSI6 71.58；RSI12 64.16；RSI24 55.78。</w:t>
      </w:r>
    </w:p>
    <w:p>
      <w:r>
        <w:t>均线：MA20 149.69；MA50 140.40；MA200 N/A。</w:t>
      </w:r>
    </w:p>
    <w:p>
      <w:r>
        <w:t>成交量：当日成交量 27464600；20日平均成交量 23328615；成交量倍数 1.18。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CCJ</w:t>
      </w:r>
    </w:p>
    <w:p>
      <w:r>
        <w:t>基础信息：日期 2026-09-09；当前价格 100.41；信号等级 C. 观察信号。</w:t>
      </w:r>
    </w:p>
    <w:p>
      <w:r>
        <w:t>BOLL：上轨 107.09；中轨 100.16；下轨 93.24；Bandwidth 13.82%。</w:t>
      </w:r>
    </w:p>
    <w:p>
      <w:r>
        <w:t>MACD：DIF 1.2815；DEA 1.5148；MACD柱 -0.2334；是否死叉：是。</w:t>
      </w:r>
    </w:p>
    <w:p>
      <w:r>
        <w:t>RSI：RSI6 50.62；RSI12 52.82；RSI24 50.98。</w:t>
      </w:r>
    </w:p>
    <w:p>
      <w:r>
        <w:t>均线：MA20 100.16；MA50 95.28；MA200 N/A。</w:t>
      </w:r>
    </w:p>
    <w:p>
      <w:r>
        <w:t>成交量：当日成交量 1705400；20日平均成交量 2655120；成交量倍数 0.64。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CRSP</w:t>
      </w:r>
    </w:p>
    <w:p>
      <w:r>
        <w:t>基础信息：日期 2026-09-09；当前价格 53.45；信号等级 C. 观察信号。</w:t>
      </w:r>
    </w:p>
    <w:p>
      <w:r>
        <w:t>BOLL：上轨 61.30；中轨 56.59；下轨 51.87；Bandwidth 16.67%。</w:t>
      </w:r>
    </w:p>
    <w:p>
      <w:r>
        <w:t>MACD：DIF 0.6267；DEA 1.2628；MACD柱 -0.6361；是否死叉：是。</w:t>
      </w:r>
    </w:p>
    <w:p>
      <w:r>
        <w:t>RSI：RSI6 24.94；RSI12 41.64；RSI24 48.08。</w:t>
      </w:r>
    </w:p>
    <w:p>
      <w:r>
        <w:t>均线：MA20 56.59；MA50 53.70；MA200 N/A。</w:t>
      </w:r>
    </w:p>
    <w:p>
      <w:r>
        <w:t>成交量：当日成交量 1183400；20日平均成交量 1440715；成交量倍数 0.82。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NNE：A. 强信号。触发条件：1. 启动前提：股价从近期高位跌破BOLL中轨；3. 跌破中轨日前后6个交易日内MACD出现死叉；5. 近3-5日BOLL带张口，且中轨向下；6. 近3-5日上轨、中轨、下轨同时向下；等级前提：近期高位跌破中轨，并且跌破日前后6个交易日内MACD死叉；早期过滤：仍处于跌破中轨后的早期确认阶段。当前属于强信号，需要重点观察下跌趋势是否加速，同时关注 MA50 附近 18.18 的支撑或压力变化。</w:t>
      </w:r>
    </w:p>
    <w:p>
      <w:r>
        <w:t>LITE：C. 观察信号。触发条件：1. 启动前提：股价从近期高位跌破BOLL中轨；3. 跌破中轨日前后6个交易日内MACD出现死叉。当前属于观察信号，需要后续交易日确认是否继续走弱，同时关注 MA50 附近 822.37 的支撑或压力变化。</w:t>
      </w:r>
    </w:p>
    <w:p>
      <w:r>
        <w:t>ORCL：C. 观察信号。触发条件：1. 启动前提：股价从近期高位跌破BOLL中轨；3. 跌破中轨日前后6个交易日内MACD出现死叉。当前属于观察信号，需要后续交易日确认是否继续走弱，同时关注 MA50 附近 140.40 的支撑或压力变化。</w:t>
      </w:r>
    </w:p>
    <w:p>
      <w:r>
        <w:t>CCJ：C. 观察信号。触发条件：1. 启动前提：股价从近期高位跌破BOLL中轨；3. 跌破中轨日前后6个交易日内MACD出现死叉。当前属于观察信号，需要后续交易日确认是否继续走弱，同时关注 MA50 附近 95.28 的支撑或压力变化。</w:t>
      </w:r>
    </w:p>
    <w:p>
      <w:r>
        <w:t>CRSP：C. 观察信号。触发条件：1. 启动前提：股价从近期高位跌破BOLL中轨；3. 跌破中轨日前后6个交易日内MACD出现死叉。当前属于观察信号，需要后续交易日确认是否继续走弱，同时关注 MA50 附近 53.70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