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报告日期：2026-08-28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短线偏热</w:t>
            </w:r>
          </w:p>
        </w:tc>
        <w:tc>
          <w:tcPr>
            <w:tcW w:type="dxa" w:w="1234"/>
          </w:tcPr>
          <w:p>
            <w:r>
              <w:t>87.14</w:t>
            </w:r>
          </w:p>
        </w:tc>
        <w:tc>
          <w:tcPr>
            <w:tcW w:type="dxa" w:w="1234"/>
          </w:tcPr>
          <w:p>
            <w:r>
              <w:t>偏离MA20超过8%；跌破MA5；RSI6掉头向下；KDJ高位死叉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8.52</w:t>
            </w:r>
          </w:p>
        </w:tc>
        <w:tc>
          <w:tcPr>
            <w:tcW w:type="dxa" w:w="1234"/>
          </w:tcPr>
          <w:p>
            <w:r>
              <w:t>RSI6掉头向下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58.05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84.23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21.26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106.23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15.37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7.90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当前价格：87.14</w:t>
      </w:r>
    </w:p>
    <w:p>
      <w:r>
        <w:t>短线状态：短线反弹确认；反弹确认分：5</w:t>
      </w:r>
    </w:p>
    <w:p>
      <w:r>
        <w:t>短线风险分：5；风险等级：短线偏热</w:t>
      </w:r>
    </w:p>
    <w:p>
      <w:r>
        <w:t>指标摘要：RSI6/RSI12=56.8/61.4；K/D/J=79.6/83.5/71.7；偏离MA20=14.59%；近5日涨幅=-0.95%；量能=1.00倍。</w:t>
      </w:r>
    </w:p>
    <w:p>
      <w:r>
        <w:t>反弹成立条件：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偏离MA20超过8%</w:t>
      </w:r>
    </w:p>
    <w:p>
      <w:pPr>
        <w:pStyle w:val="ListBullet"/>
      </w:pPr>
      <w:r>
        <w:t>跌破MA5</w:t>
      </w:r>
    </w:p>
    <w:p>
      <w:pPr>
        <w:pStyle w:val="ListBullet"/>
      </w:pPr>
      <w:r>
        <w:t>RSI6掉头向下</w:t>
      </w:r>
    </w:p>
    <w:p>
      <w:pPr>
        <w:pStyle w:val="ListBullet"/>
      </w:pPr>
      <w:r>
        <w:t>KDJ高位死叉</w:t>
      </w:r>
    </w:p>
    <w:p>
      <w:r>
        <w:t>建议观察位置：当前价格 87.14；MA5 90.21；MA10 84.76；MA20 76.04。若跌破MA5，短线反弹降温；若跌破MA20，反弹结构可能明显转弱。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当前价格：8.52</w:t>
      </w:r>
    </w:p>
    <w:p>
      <w:r>
        <w:t>短线状态：短线反弹确认；反弹确认分：5</w:t>
      </w:r>
    </w:p>
    <w:p>
      <w:r>
        <w:t>短线风险分：1；风险等级：短线反弹正常</w:t>
      </w:r>
    </w:p>
    <w:p>
      <w:r>
        <w:t>指标摘要：RSI6/RSI12=53.0/52.2；K/D/J=52.0/50.9/54.1；偏离MA20=3.03%；近5日涨幅=0.12%；量能=0.86倍。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RSI6掉头向下</w:t>
      </w:r>
    </w:p>
    <w:p>
      <w:r>
        <w:t>建议观察位置：当前价格 8.52；MA5 8.38；MA10 8.49；MA20 8.27。若跌破MA5，短线反弹降温；若跌破MA20，反弹结构可能明显转弱。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当前价格：58.05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指标摘要：RSI6/RSI12=28.3/37.8；K/D/J=10.5/18.4/-5.1；偏离MA20=-13.41%；近5日涨幅=-15.44%；量能=0.86倍。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58.05；MA5 60.75；MA10 64.21；MA20 67.04。若跌破MA5，短线反弹降温；若跌破MA20，反弹结构可能明显转弱。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当前价格：84.23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指标摘要：RSI6/RSI12=31.1/43.6；K/D/J=12.2/18.1/0.4；偏离MA20=-8.56%；近5日涨幅=-4.12%；量能=0.58倍。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84.23；MA5 86.67；MA10 90.10；MA20 92.12。若跌破MA5，短线反弹降温；若跌破MA20，反弹结构可能明显转弱。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当前价格：21.26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指标摘要：RSI6/RSI12=22.2/36.6；K/D/J=9.4/18.5/-8.6；偏离MA20=-12.99%；近5日涨幅=-13.05%；量能=0.98倍。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21.26；MA5 22.21；MA10 23.77；MA20 24.43。若跌破MA5，短线反弹降温；若跌破MA20，反弹结构可能明显转弱。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当前价格：106.23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指标摘要：RSI6/RSI12=32.3/41.4；K/D/J=16.3/22.8/3.4；偏离MA20=-16.10%；近5日涨幅=-14.89%；量能=0.45倍。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106.23；MA5 110.81；MA10 121.65；MA20 126.61。若跌破MA5，短线反弹降温；若跌破MA20，反弹结构可能明显转弱。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当前价格：15.37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指标摘要：RSI6/RSI12=29.4/41.9；K/D/J=19.1/36.3/-15.5；偏离MA20=-7.84%；近5日涨幅=-16.10%；量能=0.55倍。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15.37；MA5 16.18；MA10 17.54；MA20 16.68。若跌破MA5，短线反弹降温；若跌破MA20，反弹结构可能明显转弱。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当前价格：7.90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指标摘要：RSI6/RSI12=34.7/42.4；K/D/J=20.8/24.8/12.8；偏离MA20=-10.39%；近5日涨幅=-9.30%；量能=0.93倍。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7.90；MA5 8.27；MA10 8.54；MA20 8.82。若跌破MA5，短线反弹降温；若跌破MA20，反弹结构可能明显转弱。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