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报告日期：2026-08-31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95.55</w:t>
            </w:r>
          </w:p>
        </w:tc>
        <w:tc>
          <w:tcPr>
            <w:tcW w:type="dxa" w:w="1234"/>
          </w:tcPr>
          <w:p>
            <w:r>
              <w:t>偏离MA20超过15%；RSI12大于65；KDJ处于高位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107.69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8.19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59.10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84.89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21.12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15.36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当前价格：95.55</w:t>
      </w:r>
    </w:p>
    <w:p>
      <w:r>
        <w:t>短线状态：短线反弹确认；反弹确认分：7</w:t>
      </w:r>
    </w:p>
    <w:p>
      <w:r>
        <w:t>短线风险分：4；风险等级：短线偏热</w:t>
      </w:r>
    </w:p>
    <w:p>
      <w:r>
        <w:t>指标摘要：RSI6/RSI12=69.7/68.4；K/D/J=85.1/84.0/87.3；偏离MA20=22.81%；近5日涨幅=8.93%；量能=1.33倍。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r>
        <w:t>建议观察位置：当前价格 95.55；MA5 91.77；MA10 86.85；MA20 77.80。若跌破MA5，短线反弹降温；若跌破MA20，反弹结构可能明显转弱。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当前价格：107.69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指标摘要：RSI6/RSI12=35.0/42.4；K/D/J=16.0/20.5/6.9；偏离MA20=-14.86%；近5日涨幅=0.06%；量能=0.37倍。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107.69；MA5 110.82；MA10 116.93；MA20 126.49。若跌破MA5，短线反弹降温；若跌破MA20，反弹结构可能明显转弱。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当前价格：8.19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指标摘要：RSI6/RSI12=44.4/48.4；K/D/J=45.4/49.1/38.1；偏离MA20=-1.69%；近5日涨幅=-1.21%；量能=0.63倍。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8.19；MA5 8.36；MA10 8.41；MA20 8.33。若跌破MA5，短线反弹降温；若跌破MA20，反弹结构可能明显转弱。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当前价格：59.10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指标摘要：RSI6/RSI12=33.9/39.9；K/D/J=13.4/16.7/6.8；偏离MA20=-11.55%；近5日涨幅=-5.21%；量能=0.78倍。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59.10；MA5 60.10；MA10 63.00；MA20 66.82。若跌破MA5，短线反弹降温；若跌破MA20，反弹结构可能明显转弱。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当前价格：84.89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指标摘要：RSI6/RSI12=34.5/44.6；K/D/J=15.1/17.1/11.0；偏离MA20=-7.80%；近5日涨幅=-1.58%；量能=0.47倍。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84.89；MA5 86.39；MA10 87.99；MA20 92.07。若跌破MA5，短线反弹降温；若跌破MA20，反弹结构可能明显转弱。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当前价格：21.12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指标摘要：RSI6/RSI12=21.3/36.0；K/D/J=8.4/15.1/-5.1；偏离MA20=-13.42%；近5日涨幅=-8.57%；量能=0.74倍。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21.12；MA5 21.81；MA10 23.17；MA20 24.40。若跌破MA5，短线反弹降温；若跌破MA20，反弹结构可能明显转弱。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当前价格：15.36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指标摘要：RSI6/RSI12=29.4/41.8；K/D/J=16.7/29.8/-9.6；偏离MA20=-8.52%；近5日涨幅=-7.80%；量能=0.43倍。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15.36；MA5 15.92；MA10 17.04；MA20 16.79。若跌破MA5，短线反弹降温；若跌破MA20，反弹结构可能明显转弱。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指标摘要：RSI6/RSI12=30.8/39.9；K/D/J=14.0/21.2/-0.4；偏离MA20=-12.82%；近5日涨幅=-7.10%；量能=0.40倍。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7.66；MA5 8.15；MA10 8.41；MA20 8.78。若跌破MA5，短线反弹降温；若跌破MA20，反弹结构可能明显转弱。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