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报告日期：2026-10-19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6.64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41.87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61.12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16.64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78.20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10.74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81.37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非上升趋势(0)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6.06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OPTX</w:t>
      </w:r>
    </w:p>
    <w:p>
      <w:r>
        <w:t>当前价格：6.64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RSI：RSI6=26.6；RSI12=37.6；RSI24=43.4；未进入过热见顶评分</w:t>
      </w:r>
    </w:p>
    <w:p>
      <w:pPr>
        <w:pStyle w:val="ListBullet"/>
      </w:pPr>
      <w:r>
        <w:t>MA20/50/200：MA20=7.85；MA50=7.87；MA200=8.03；MA20斜率向上；MA50斜率向上</w:t>
      </w:r>
    </w:p>
    <w:p>
      <w:pPr>
        <w:pStyle w:val="ListBullet"/>
      </w:pPr>
      <w:r>
        <w:t>成交量变化：Volume/MA20=0.61倍；成交量为20日均量的0.61倍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6.64；MA20 7.85；MA50 7.87；MA200 8.03。若后续有效跌破MA50，趋势进一步恶化的概率上升。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当前价格：41.87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RSI：RSI6=26.4；RSI12=30.1；RSI24=36.5；未进入过热见顶评分</w:t>
      </w:r>
    </w:p>
    <w:p>
      <w:pPr>
        <w:pStyle w:val="ListBullet"/>
      </w:pPr>
      <w:r>
        <w:t>MA20/50/200：MA20=54.95；MA50=60.19；MA200=79.82；未满足上升趋势过滤条件</w:t>
      </w:r>
    </w:p>
    <w:p>
      <w:pPr>
        <w:pStyle w:val="ListBullet"/>
      </w:pPr>
      <w:r>
        <w:t>成交量变化：Volume/MA20=0.81倍；成交量为20日均量的0.81倍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41.87；MA20 54.95；MA50 60.19；MA200 79.82。若后续有效跌破MA50，趋势进一步恶化的概率上升。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当前价格：61.12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RSI：RSI6=19.2；RSI12=27.2；RSI24=36.3；未进入过热见顶评分</w:t>
      </w:r>
    </w:p>
    <w:p>
      <w:pPr>
        <w:pStyle w:val="ListBullet"/>
      </w:pPr>
      <w:r>
        <w:t>MA20/50/200：MA20=81.75；MA50=86.44；MA200=92.39；未满足上升趋势过滤条件</w:t>
      </w:r>
    </w:p>
    <w:p>
      <w:pPr>
        <w:pStyle w:val="ListBullet"/>
      </w:pPr>
      <w:r>
        <w:t>成交量变化：Volume/MA20=2.36倍；成交量为20日均量的2.36倍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61.12；MA20 81.75；MA50 86.44；MA200 92.39。若后续有效跌破MA50，趋势进一步恶化的概率上升。</w:t>
      </w:r>
    </w:p>
    <w:p>
      <w:pPr>
        <w:pStyle w:val="Heading3"/>
      </w:pPr>
      <w:r>
        <w:t>FLY</w:t>
      </w:r>
    </w:p>
    <w:p>
      <w:r>
        <w:t>当前价格：16.64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RSI：RSI6=20.2；RSI12=28.6；RSI24=36.8；未进入过热见顶评分</w:t>
      </w:r>
    </w:p>
    <w:p>
      <w:pPr>
        <w:pStyle w:val="ListBullet"/>
      </w:pPr>
      <w:r>
        <w:t>MA20/50/200：MA20=21.13；MA50=22.25；MA200=27.62；未满足上升趋势过滤条件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16.64；MA20 21.13；MA50 22.25；MA200 27.62。若后续有效跌破MA50，趋势进一步恶化的概率上升。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当前价格：78.20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RSI：RSI6=25.1；RSI12=33.3；RSI24=39.9；未进入过热见顶评分</w:t>
      </w:r>
    </w:p>
    <w:p>
      <w:pPr>
        <w:pStyle w:val="ListBullet"/>
      </w:pPr>
      <w:r>
        <w:t>MA20/50/200：MA20=102.11；MA50=109.84；MA200=112.44；未满足上升趋势过滤条件</w:t>
      </w:r>
    </w:p>
    <w:p>
      <w:pPr>
        <w:pStyle w:val="ListBullet"/>
      </w:pPr>
      <w:r>
        <w:t>成交量变化：Volume/MA20=1.08倍；成交量为20日均量的1.08倍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78.20；MA20 102.11；MA50 109.84；MA200 112.44。若后续有效跌破MA50，趋势进一步恶化的概率上升。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当前价格：10.74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RSI：RSI6=21.7；RSI12=29.0；RSI24=36.4；未进入过热见顶评分</w:t>
      </w:r>
    </w:p>
    <w:p>
      <w:pPr>
        <w:pStyle w:val="ListBullet"/>
      </w:pPr>
      <w:r>
        <w:t>MA20/50/200：MA20=13.77；MA50=15.13；MA200=20.12；未满足上升趋势过滤条件</w:t>
      </w:r>
    </w:p>
    <w:p>
      <w:pPr>
        <w:pStyle w:val="ListBullet"/>
      </w:pPr>
      <w:r>
        <w:t>成交量变化：Volume/MA20=0.52倍；成交量为20日均量的0.52倍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10.74；MA20 13.77；MA50 15.13；MA200 20.12。若后续有效跌破MA50，趋势进一步恶化的概率上升。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当前价格：81.37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RSI：RSI6=43.5；RSI12=45.3；RSI24=48.2；未进入过热见顶评分</w:t>
      </w:r>
    </w:p>
    <w:p>
      <w:pPr>
        <w:pStyle w:val="ListBullet"/>
      </w:pPr>
      <w:r>
        <w:t>MA20/50/200：MA20=84.80；MA50=85.69；MA200=86.09；MA50斜率向上；近60日收益为正</w:t>
      </w:r>
    </w:p>
    <w:p>
      <w:pPr>
        <w:pStyle w:val="ListBullet"/>
      </w:pPr>
      <w:r>
        <w:t>成交量变化：Volume/MA20=0.55倍；成交量为20日均量的0.55倍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81.37；MA20 84.80；MA50 85.69；MA200 86.09。若后续有效跌破MA50，趋势进一步恶化的概率上升。</w:t>
      </w:r>
    </w:p>
    <w:p>
      <w:pPr>
        <w:pStyle w:val="Heading3"/>
      </w:pPr>
      <w:r>
        <w:t>ONDS</w:t>
      </w:r>
    </w:p>
    <w:p>
      <w:r>
        <w:t>当前价格：6.06</w:t>
      </w:r>
    </w:p>
    <w:p>
      <w:r>
        <w:t>趋势过滤：非上升趋势；上升趋势评分：0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RSI：RSI6=23.0；RSI12=28.4；RSI24=36.7；未进入过热见顶评分</w:t>
      </w:r>
    </w:p>
    <w:p>
      <w:pPr>
        <w:pStyle w:val="ListBullet"/>
      </w:pPr>
      <w:r>
        <w:t>MA20/50/200：MA20=7.04；MA50=7.68；MA200=9.33；未满足上升趋势过滤条件</w:t>
      </w:r>
    </w:p>
    <w:p>
      <w:pPr>
        <w:pStyle w:val="ListBullet"/>
      </w:pPr>
      <w:r>
        <w:t>成交量变化：Volume/MA20=0.49倍；成交量为20日均量的0.49倍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6.06；MA20 7.04；MA50 7.68；MA200 9.33。若后续有效跌破MA50，趋势进一步恶化的概率上升。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