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报告日期：2026-10-19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81.37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6.64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41.87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61.12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16.64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78.20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10.74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6.06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当前价格：81.37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指标摘要：RSI6/RSI12=43.5/45.3；K/D/J=52.6/47.6/62.4；偏离MA20=-4.05%；近5日涨幅=-2.98%；量能=0.55倍。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81.37；MA5 82.88；MA10 82.86；MA20 84.80。若跌破MA5，短线反弹降温；若跌破MA20，反弹结构可能明显转弱。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当前价格：6.64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指标摘要：RSI6/RSI12=26.6/37.6；K/D/J=12.3/21.0/-5.1；偏离MA20=-15.41%；近5日涨幅=-15.41%；量能=0.61倍。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6.64；MA5 6.93；MA10 7.76；MA20 7.85。若跌破MA5，短线反弹降温；若跌破MA20，反弹结构可能明显转弱。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当前价格：41.87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指标摘要：RSI6/RSI12=26.4/30.1；K/D/J=10.5/15.1/1.3；偏离MA20=-23.81%；近5日涨幅=-18.64%；量能=0.81倍。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41.87；MA5 43.24；MA10 49.93；MA20 54.95。若跌破MA5，短线反弹降温；若跌破MA20，反弹结构可能明显转弱。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当前价格：61.12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指标摘要：RSI6/RSI12=19.2/27.2；K/D/J=12.1/18.5/-0.6；偏离MA20=-25.23%；近5日涨幅=-23.85%；量能=2.36倍。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61.12；MA5 67.16；MA10 75.99；MA20 81.75。若跌破MA5，短线反弹降温；若跌破MA20，反弹结构可能明显转弱。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当前价格：16.64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指标摘要：RSI6/RSI12=20.2/28.6；K/D/J=10.7/12.1/8.0；偏离MA20=-21.24%；近5日涨幅=-14.09%；量能=0.67倍。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16.64；MA5 17.32；MA10 19.10；MA20 21.13。若跌破MA5，短线反弹降温；若跌破MA20，反弹结构可能明显转弱。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当前价格：78.20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指标摘要：RSI6/RSI12=25.1/33.3；K/D/J=9.9/20.2/-10.8；偏离MA20=-23.41%；近5日涨幅=-22.33%；量能=1.08倍。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78.20；MA5 84.30；MA10 99.04；MA20 102.11。若跌破MA5，短线反弹降温；若跌破MA20，反弹结构可能明显转弱。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当前价格：10.74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指标摘要：RSI6/RSI12=21.7/29.0；K/D/J=12.9/13.6/11.6；偏离MA20=-21.99%；近5日涨幅=-16.49%；量能=0.52倍。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10.74；MA5 11.26；MA10 12.55；MA20 13.77。若跌破MA5，短线反弹降温；若跌破MA20，反弹结构可能明显转弱。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当前价格：6.06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指标摘要：RSI6/RSI12=23.0/28.4；K/D/J=16.1/15.7/16.9；偏离MA20=-13.91%；近5日涨幅=-9.15%；量能=0.49倍。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6.06；MA5 6.26；MA10 6.61；MA20 7.04。若跌破MA5，短线反弹降温；若跌破MA20，反弹结构可能明显转弱。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