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美股技术风险监控报告</w:t>
      </w:r>
    </w:p>
    <w:p>
      <w:pPr>
        <w:jc w:val="center"/>
      </w:pPr>
      <w:r>
        <w:t>报告日期：2026-10-14</w:t>
      </w:r>
    </w:p>
    <w:p>
      <w:pPr>
        <w:pStyle w:val="Heading2"/>
      </w:pPr>
      <w:r>
        <w:t>一、总体风险排名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趋势状态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风险评分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当前价格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440"/>
          </w:tcPr>
          <w:p>
            <w:r>
              <w:t>OPTX</w:t>
            </w:r>
          </w:p>
        </w:tc>
        <w:tc>
          <w:tcPr>
            <w:tcW w:type="dxa" w:w="1440"/>
          </w:tcPr>
          <w:p>
            <w:r>
              <w:t>非上升趋势(3)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6.91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ASTS</w:t>
            </w:r>
          </w:p>
        </w:tc>
        <w:tc>
          <w:tcPr>
            <w:tcW w:type="dxa" w:w="1440"/>
          </w:tcPr>
          <w:p>
            <w:r>
              <w:t>非上升趋势(0)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42.14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CRWV</w:t>
            </w:r>
          </w:p>
        </w:tc>
        <w:tc>
          <w:tcPr>
            <w:tcW w:type="dxa" w:w="1440"/>
          </w:tcPr>
          <w:p>
            <w:r>
              <w:t>非上升趋势(1)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65.78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FLY</w:t>
            </w:r>
          </w:p>
        </w:tc>
        <w:tc>
          <w:tcPr>
            <w:tcW w:type="dxa" w:w="1440"/>
          </w:tcPr>
          <w:p>
            <w:r>
              <w:t>非上升趋势(1)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17.02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AAOI</w:t>
            </w:r>
          </w:p>
        </w:tc>
        <w:tc>
          <w:tcPr>
            <w:tcW w:type="dxa" w:w="1440"/>
          </w:tcPr>
          <w:p>
            <w:r>
              <w:t>非上升趋势(3)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86.22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LUNR</w:t>
            </w:r>
          </w:p>
        </w:tc>
        <w:tc>
          <w:tcPr>
            <w:tcW w:type="dxa" w:w="1440"/>
          </w:tcPr>
          <w:p>
            <w:r>
              <w:t>非上升趋势(1)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11.02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CRCL</w:t>
            </w:r>
          </w:p>
        </w:tc>
        <w:tc>
          <w:tcPr>
            <w:tcW w:type="dxa" w:w="1440"/>
          </w:tcPr>
          <w:p>
            <w:r>
              <w:t>趋势修复/震荡偏强(4)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79.55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ONDS</w:t>
            </w:r>
          </w:p>
        </w:tc>
        <w:tc>
          <w:tcPr>
            <w:tcW w:type="dxa" w:w="1440"/>
          </w:tcPr>
          <w:p>
            <w:r>
              <w:t>非上升趋势(0)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6.14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</w:tbl>
    <w:p/>
    <w:p>
      <w:pPr>
        <w:pStyle w:val="Heading2"/>
      </w:pPr>
      <w:r>
        <w:t>二、逐股票分析</w:t>
      </w:r>
    </w:p>
    <w:p>
      <w:pPr>
        <w:pStyle w:val="Heading3"/>
      </w:pPr>
      <w:r>
        <w:t>OPTX</w:t>
      </w:r>
    </w:p>
    <w:p>
      <w:r>
        <w:t>当前价格：6.91</w:t>
      </w:r>
    </w:p>
    <w:p>
      <w:r>
        <w:t>趋势过滤：非上升趋势；上升趋势评分：3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RSI：RSI6=26.1；RSI12=39.0；RSI24=44.4；未进入过热见顶评分</w:t>
      </w:r>
    </w:p>
    <w:p>
      <w:pPr>
        <w:pStyle w:val="ListBullet"/>
      </w:pPr>
      <w:r>
        <w:t>MA20/50/200：MA20=7.92；MA50=7.93；MA200=7.98；MA20斜率向上；MA50斜率向上；近20日收益为正</w:t>
      </w:r>
    </w:p>
    <w:p>
      <w:pPr>
        <w:pStyle w:val="ListBullet"/>
      </w:pPr>
      <w:r>
        <w:t>成交量变化：Volume/MA20=0.88倍；成交量为20日均量的0.88倍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6.91；MA20 7.92；MA50 7.93；MA200 7.98。若后续有效跌破MA50，趋势进一步恶化的概率上升。</w:t>
      </w:r>
    </w:p>
    <w:p>
      <w:pPr>
        <w:pStyle w:val="Heading3"/>
      </w:pPr>
      <w:r>
        <w:t>ASTS</w:t>
      </w:r>
    </w:p>
    <w:p>
      <w:r>
        <w:t>当前价格：42.14</w:t>
      </w:r>
    </w:p>
    <w:p>
      <w:r>
        <w:t>趋势过滤：非上升趋势；上升趋势评分：0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RSI：RSI6=15.0；RSI12=25.4；RSI24=35.1；未进入过热见顶评分</w:t>
      </w:r>
    </w:p>
    <w:p>
      <w:pPr>
        <w:pStyle w:val="ListBullet"/>
      </w:pPr>
      <w:r>
        <w:t>MA20/50/200：MA20=57.76；MA50=61.80；MA200=80.28；未满足上升趋势过滤条件</w:t>
      </w:r>
    </w:p>
    <w:p>
      <w:pPr>
        <w:pStyle w:val="ListBullet"/>
      </w:pPr>
      <w:r>
        <w:t>成交量变化：Volume/MA20=1.71倍；成交量为20日均量的1.71倍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42.14；MA20 57.76；MA50 61.80；MA200 80.28。若后续有效跌破MA50，趋势进一步恶化的概率上升。</w:t>
      </w:r>
    </w:p>
    <w:p>
      <w:pPr>
        <w:pStyle w:val="Heading3"/>
      </w:pPr>
      <w:r>
        <w:t>CRWV</w:t>
      </w:r>
    </w:p>
    <w:p>
      <w:r>
        <w:t>当前价格：65.78</w:t>
      </w:r>
    </w:p>
    <w:p>
      <w:r>
        <w:t>趋势过滤：非上升趋势；上升趋势评分：1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RSI：RSI6=13.5；RSI12=26.4；RSI24=37.3；未进入过热见顶评分</w:t>
      </w:r>
    </w:p>
    <w:p>
      <w:pPr>
        <w:pStyle w:val="ListBullet"/>
      </w:pPr>
      <w:r>
        <w:t>MA20/50/200：MA20=84.47；MA50=87.92；MA200=92.53；MA50斜率向上</w:t>
      </w:r>
    </w:p>
    <w:p>
      <w:pPr>
        <w:pStyle w:val="ListBullet"/>
      </w:pPr>
      <w:r>
        <w:t>成交量变化：Volume/MA20=3.13倍；成交量为20日均量的3.13倍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65.78；MA20 84.47；MA50 87.92；MA200 92.53。若后续有效跌破MA50，趋势进一步恶化的概率上升。</w:t>
      </w:r>
    </w:p>
    <w:p>
      <w:pPr>
        <w:pStyle w:val="Heading3"/>
      </w:pPr>
      <w:r>
        <w:t>FLY</w:t>
      </w:r>
    </w:p>
    <w:p>
      <w:r>
        <w:t>数据提示：历史数据不足300个交易日，当前仅299个交易日；部分长期均线可能为空。</w:t>
      </w:r>
    </w:p>
    <w:p>
      <w:r>
        <w:t>当前价格：17.02</w:t>
      </w:r>
    </w:p>
    <w:p>
      <w:r>
        <w:t>趋势过滤：非上升趋势；上升趋势评分：1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RSI：RSI6=12.1；RSI12=26.4；RSI24=36.5；未进入过热见顶评分</w:t>
      </w:r>
    </w:p>
    <w:p>
      <w:pPr>
        <w:pStyle w:val="ListBullet"/>
      </w:pPr>
      <w:r>
        <w:t>MA20/50/200：MA20=21.84；MA50=22.69；MA200=27.71；MA50斜率向上</w:t>
      </w:r>
    </w:p>
    <w:p>
      <w:pPr>
        <w:pStyle w:val="ListBullet"/>
      </w:pPr>
      <w:r>
        <w:t>成交量变化：Volume/MA20=1.00倍；成交量为20日均量的1.00倍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17.02；MA20 21.84；MA50 22.69；MA200 27.71。若后续有效跌破MA50，趋势进一步恶化的概率上升。</w:t>
      </w:r>
    </w:p>
    <w:p>
      <w:pPr>
        <w:pStyle w:val="Heading3"/>
      </w:pPr>
      <w:r>
        <w:t>AAOI</w:t>
      </w:r>
    </w:p>
    <w:p>
      <w:r>
        <w:t>当前价格：86.22</w:t>
      </w:r>
    </w:p>
    <w:p>
      <w:r>
        <w:t>趋势过滤：非上升趋势；上升趋势评分：3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RSI：RSI6=25.8；RSI12=35.7；RSI24=41.7；未进入过热见顶评分</w:t>
      </w:r>
    </w:p>
    <w:p>
      <w:pPr>
        <w:pStyle w:val="ListBullet"/>
      </w:pPr>
      <w:r>
        <w:t>MA20/50/200：MA20=105.83；MA50=112.86；MA200=111.79；MA50高于MA200；MA20斜率向上；MA50斜率向上</w:t>
      </w:r>
    </w:p>
    <w:p>
      <w:pPr>
        <w:pStyle w:val="ListBullet"/>
      </w:pPr>
      <w:r>
        <w:t>成交量变化：Volume/MA20=1.51倍；成交量为20日均量的1.51倍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86.22；MA20 105.83；MA50 112.86；MA200 111.79。若后续有效跌破MA50，趋势进一步恶化的概率上升。</w:t>
      </w:r>
    </w:p>
    <w:p>
      <w:pPr>
        <w:pStyle w:val="Heading3"/>
      </w:pPr>
      <w:r>
        <w:t>LUNR</w:t>
      </w:r>
    </w:p>
    <w:p>
      <w:r>
        <w:t>当前价格：11.02</w:t>
      </w:r>
    </w:p>
    <w:p>
      <w:r>
        <w:t>趋势过滤：非上升趋势；上升趋势评分：1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RSI：RSI6=15.2；RSI12=27.1；RSI24=36.2；未进入过热见顶评分</w:t>
      </w:r>
    </w:p>
    <w:p>
      <w:pPr>
        <w:pStyle w:val="ListBullet"/>
      </w:pPr>
      <w:r>
        <w:t>MA20/50/200：MA20=14.33；MA50=15.38；MA200=20.19；MA50斜率向上</w:t>
      </w:r>
    </w:p>
    <w:p>
      <w:pPr>
        <w:pStyle w:val="ListBullet"/>
      </w:pPr>
      <w:r>
        <w:t>成交量变化：Volume/MA20=1.14倍；成交量为20日均量的1.14倍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11.02；MA20 14.33；MA50 15.38；MA200 20.19。若后续有效跌破MA50，趋势进一步恶化的概率上升。</w:t>
      </w:r>
    </w:p>
    <w:p>
      <w:pPr>
        <w:pStyle w:val="Heading3"/>
      </w:pPr>
      <w:r>
        <w:t>CRCL</w:t>
      </w:r>
    </w:p>
    <w:p>
      <w:r>
        <w:t>当前价格：79.55</w:t>
      </w:r>
    </w:p>
    <w:p>
      <w:r>
        <w:t>趋势过滤：趋势修复/震荡偏强；上升趋势评分：4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RSI：RSI6=32.9；RSI12=41.0；RSI24=46.8；未进入过热见顶评分</w:t>
      </w:r>
    </w:p>
    <w:p>
      <w:pPr>
        <w:pStyle w:val="ListBullet"/>
      </w:pPr>
      <w:r>
        <w:t>MA20/50/200：MA20=85.84；MA50=84.55；MA200=86.04；MA20高于MA50；MA50斜率向上；近60日收益为正</w:t>
      </w:r>
    </w:p>
    <w:p>
      <w:pPr>
        <w:pStyle w:val="ListBullet"/>
      </w:pPr>
      <w:r>
        <w:t>成交量变化：Volume/MA20=1.03倍；成交量为20日均量的1.03倍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79.55；MA20 85.84；MA50 84.55；MA200 86.04。若后续有效跌破MA50，趋势进一步恶化的概率上升。</w:t>
      </w:r>
    </w:p>
    <w:p>
      <w:pPr>
        <w:pStyle w:val="Heading3"/>
      </w:pPr>
      <w:r>
        <w:t>ONDS</w:t>
      </w:r>
    </w:p>
    <w:p>
      <w:r>
        <w:t>当前价格：6.14</w:t>
      </w:r>
    </w:p>
    <w:p>
      <w:r>
        <w:t>趋势过滤：非上升趋势；上升趋势评分：0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RSI：RSI6=13.4；RSI12=25.0；RSI24=36.1；未进入过热见顶评分</w:t>
      </w:r>
    </w:p>
    <w:p>
      <w:pPr>
        <w:pStyle w:val="ListBullet"/>
      </w:pPr>
      <w:r>
        <w:t>MA20/50/200：MA20=7.22；MA50=7.84；MA200=9.38；未满足上升趋势过滤条件</w:t>
      </w:r>
    </w:p>
    <w:p>
      <w:pPr>
        <w:pStyle w:val="ListBullet"/>
      </w:pPr>
      <w:r>
        <w:t>成交量变化：Volume/MA20=1.12倍；成交量为20日均量的1.12倍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6.14；MA20 7.22；MA50 7.84；MA200 9.38。若后续有效跌破MA50，趋势进一步恶化的概率上升。</w:t>
      </w:r>
    </w:p>
    <w:p>
      <w:r>
        <w:t>本报告仅用于技术指标监控和公开行情数据整理，不构成任何投资建议。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