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报告日期：2026-09-02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7.53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62.40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80.93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21.07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103.13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14.86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上升趋势(10)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正常波动</w:t>
            </w:r>
          </w:p>
        </w:tc>
        <w:tc>
          <w:tcPr>
            <w:tcW w:type="dxa" w:w="1440"/>
          </w:tcPr>
          <w:p>
            <w:r>
              <w:t>88.64</w:t>
            </w:r>
          </w:p>
        </w:tc>
        <w:tc>
          <w:tcPr>
            <w:tcW w:type="dxa" w:w="1440"/>
          </w:tcPr>
          <w:p>
            <w:r>
              <w:t>暂无明显技术风险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7.61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当前价格：7.53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RSI：RSI6=36.2；RSI12=42.7；RSI24=45.7；未进入过热见顶评分</w:t>
      </w:r>
    </w:p>
    <w:p>
      <w:pPr>
        <w:pStyle w:val="ListBullet"/>
      </w:pPr>
      <w:r>
        <w:t>MA20/50/200：MA20=8.29；MA50=8.44；MA200=7.10；收盘价站上MA200；MA50高于MA200；MA20斜率向上</w:t>
      </w:r>
    </w:p>
    <w:p>
      <w:pPr>
        <w:pStyle w:val="ListBullet"/>
      </w:pPr>
      <w:r>
        <w:t>成交量变化：Volume/MA20=0.52倍；成交量为20日均量的0.52倍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7.53；MA20 8.29；MA50 8.44；MA200 7.10。若后续有效跌破MA50，趋势进一步恶化的概率上升。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当前价格：62.40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RSI：RSI6=52.1；RSI12=47.7；RSI24=46.4；未进入过热见顶评分</w:t>
      </w:r>
    </w:p>
    <w:p>
      <w:pPr>
        <w:pStyle w:val="ListBullet"/>
      </w:pPr>
      <w:r>
        <w:t>MA20/50/200：MA20=65.79；MA50=66.92；MA200=81.37；MA20斜率向上</w:t>
      </w:r>
    </w:p>
    <w:p>
      <w:pPr>
        <w:pStyle w:val="ListBullet"/>
      </w:pPr>
      <w:r>
        <w:t>成交量变化：Volume/MA20=1.87倍；成交量为20日均量的1.87倍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62.40；MA20 65.79；MA50 66.92；MA200 81.37。若后续有效跌破MA50，趋势进一步恶化的概率上升。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当前价格：80.93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RSI：RSI6=25.1；RSI12=40.0；RSI24=45.1；未进入过热见顶评分</w:t>
      </w:r>
    </w:p>
    <w:p>
      <w:pPr>
        <w:pStyle w:val="ListBullet"/>
      </w:pPr>
      <w:r>
        <w:t>MA20/50/200：MA20=91.12；MA50=86.13；MA200=91.36；MA20高于MA50；MA20斜率向上</w:t>
      </w:r>
    </w:p>
    <w:p>
      <w:pPr>
        <w:pStyle w:val="ListBullet"/>
      </w:pPr>
      <w:r>
        <w:t>成交量变化：Volume/MA20=0.58倍；成交量为20日均量的0.58倍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80.93；MA20 91.12；MA50 86.13；MA200 91.36。若后续有效跌破MA50，趋势进一步恶化的概率上升。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数据提示：历史数据不足300个交易日，当前仅270个交易日；部分长期均线可能为空。</w:t>
      </w:r>
    </w:p>
    <w:p>
      <w:r>
        <w:t>当前价格：21.07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RSI：RSI6=28.3；RSI12=37.3；RSI24=42.0；未进入过热见顶评分</w:t>
      </w:r>
    </w:p>
    <w:p>
      <w:pPr>
        <w:pStyle w:val="ListBullet"/>
      </w:pPr>
      <w:r>
        <w:t>MA20/50/200：MA20=24.17；MA50=23.47；MA200=27.53；MA20高于MA50；MA20斜率向上</w:t>
      </w:r>
    </w:p>
    <w:p>
      <w:pPr>
        <w:pStyle w:val="ListBullet"/>
      </w:pPr>
      <w:r>
        <w:t>成交量变化：Volume/MA20=0.74倍；成交量为20日均量的0.74倍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21.07；MA20 24.17；MA50 23.47；MA200 27.53。若后续有效跌破MA50，趋势进一步恶化的概率上升。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当前价格：103.13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RSI：RSI6=30.3；RSI12=40.1；RSI24=44.5；未进入过热见顶评分</w:t>
      </w:r>
    </w:p>
    <w:p>
      <w:pPr>
        <w:pStyle w:val="ListBullet"/>
      </w:pPr>
      <w:r>
        <w:t>MA20/50/200：MA20=123.81；MA50=119.22；MA200=100.70；MA20高于MA50；收盘价站上MA200；MA50高于MA200；MA20斜率向上</w:t>
      </w:r>
    </w:p>
    <w:p>
      <w:pPr>
        <w:pStyle w:val="ListBullet"/>
      </w:pPr>
      <w:r>
        <w:t>成交量变化：Volume/MA20=0.37倍；成交量为20日均量的0.37倍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103.13；MA20 123.81；MA50 119.22；MA200 100.70。若后续有效跌破MA50，趋势进一步恶化的概率上升。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当前价格：14.86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RSI：RSI6=27.4；RSI12=39.6；RSI24=42.9；未进入过热见顶评分</w:t>
      </w:r>
    </w:p>
    <w:p>
      <w:pPr>
        <w:pStyle w:val="ListBullet"/>
      </w:pPr>
      <w:r>
        <w:t>MA20/50/200：MA20=16.87；MA50=16.16；MA200=19.73；MA20高于MA50；MA20斜率向上；近20日收益为正</w:t>
      </w:r>
    </w:p>
    <w:p>
      <w:pPr>
        <w:pStyle w:val="ListBullet"/>
      </w:pPr>
      <w:r>
        <w:t>成交量变化：Volume/MA20=0.47倍；成交量为20日均量的0.47倍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14.86；MA20 16.87；MA50 16.16；MA200 19.73。若后续有效跌破MA50，趋势进一步恶化的概率上升。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当前价格：88.64</w:t>
      </w:r>
    </w:p>
    <w:p>
      <w:r>
        <w:t>趋势过滤：上升趋势；上升趋势评分：10</w:t>
      </w:r>
    </w:p>
    <w:p>
      <w:r>
        <w:t>当前状态：健康上涨或正常波动</w:t>
      </w:r>
    </w:p>
    <w:p>
      <w:r>
        <w:t>风险评分：总分 0；风险等级：正常波动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RSI：RSI6=53.6；RSI12=58.8；RSI24=56.2；RSI暂无明显风险</w:t>
      </w:r>
    </w:p>
    <w:p>
      <w:pPr>
        <w:pStyle w:val="ListBullet"/>
      </w:pPr>
      <w:r>
        <w:t>MA20/50/200：MA20=80.38；MA50=71.17；MA200=84.87；均线结构暂无明显风险</w:t>
      </w:r>
    </w:p>
    <w:p>
      <w:pPr>
        <w:pStyle w:val="ListBullet"/>
      </w:pPr>
      <w:r>
        <w:t>成交量变化：Volume/MA20=0.58倍；成交量为20日均量的0.58倍</w:t>
      </w:r>
    </w:p>
    <w:p>
      <w:r>
        <w:t>主要风险来源：</w:t>
      </w:r>
    </w:p>
    <w:p>
      <w:pPr>
        <w:pStyle w:val="ListBullet"/>
      </w:pPr>
      <w:r>
        <w:t>暂无明显技术风险</w:t>
      </w:r>
    </w:p>
    <w:p>
      <w:r>
        <w:t>判断：健康上涨或正常波动。MACD暂无明显转弱；KDJ暂无明显风险；RSI暂无明显风险。</w:t>
      </w:r>
    </w:p>
    <w:p>
      <w:r>
        <w:t>建议观察位置：当前价格 88.64；MA20 80.38；MA50 71.17；MA200 84.87。若后续有效跌破MA50，趋势进一步恶化的概率上升。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当前价格：7.61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RSI：RSI6=39.9；RSI12=42.4；RSI24=45.4；未进入过热见顶评分</w:t>
      </w:r>
    </w:p>
    <w:p>
      <w:pPr>
        <w:pStyle w:val="ListBullet"/>
      </w:pPr>
      <w:r>
        <w:t>MA20/50/200：MA20=8.63；MA50=8.03；MA200=9.51；MA20高于MA50；MA20斜率向上</w:t>
      </w:r>
    </w:p>
    <w:p>
      <w:pPr>
        <w:pStyle w:val="ListBullet"/>
      </w:pPr>
      <w:r>
        <w:t>成交量变化：Volume/MA20=1.11倍；成交量为20日均量的1.11倍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7.61；MA20 8.63；MA50 8.03；MA200 9.51。若后续有效跌破MA50，趋势进一步恶化的概率上升。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