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报告日期：2026-10-13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84.27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7.66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47.06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77.81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18.34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97.78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12.18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6.71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当前价格：84.27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指标摘要：RSI6/RSI12=51.0/48.2；K/D/J=44.6/33.9/65.9；偏离MA20=-1.88%；近5日涨幅=0.17%；量能=0.48倍。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84.27；MA5 82.87；MA10 82.81；MA20 85.89。若跌破MA5，短线反弹降温；若跌破MA20，反弹结构可能明显转弱。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当前价格：7.66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指标摘要：RSI6/RSI12=36.2/45.6；K/D/J=28.1/47.6/-11.1；偏离MA20=-2.90%；近5日涨幅=-22.00%；量能=0.43倍。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7.66；MA5 8.15；MA10 8.59；MA20 7.89。若跌破MA5，短线反弹降温；若跌破MA20，反弹结构可能明显转弱。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当前价格：47.06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指标摘要：RSI6/RSI12=20.3/30.0；K/D/J=19.9/28.1/3.4；偏离MA20=-19.71%；近5日涨幅=-25.44%；量能=1.53倍。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47.06；MA5 53.41；MA10 56.30；MA20 58.62。若跌破MA5，短线反弹降温；若跌破MA20，反弹结构可能明显转弱。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当前价格：77.81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指标摘要：RSI6/RSI12=26.2/37.1；K/D/J=19.9/33.6/-7.7；偏离MA20=-8.83%；近5日涨幅=-15.17%；量能=1.10倍。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77.81；MA5 82.04；MA10 85.46；MA20 85.35。若跌破MA5，短线反弹降温；若跌破MA20，反弹结构可能明显转弱。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当前价格：18.34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指标摘要：RSI6/RSI12=16.3/30.4；K/D/J=8.9/19.2/-11.7；偏离MA20=-16.65%；近5日涨幅=-19.67%；量能=0.85倍。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18.34；MA5 19.98；MA10 21.46；MA20 22.00。若跌破MA5，短线反弹降温；若跌破MA20，反弹结构可能明显转弱。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当前价格：97.78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指标摘要：RSI6/RSI12=34.9/42.1；K/D/J=30.1/48.1/-5.9；偏离MA20=-8.06%；近5日涨幅=-24.88%；量能=1.13倍。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97.78；MA5 107.31；MA10 111.04；MA20 106.35。若跌破MA5，短线反弹降温；若跌破MA20，反弹结构可能明显转弱。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当前价格：12.18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指标摘要：RSI6/RSI12=21.6/32.3；K/D/J=9.9/18.0/-6.2；偏离MA20=-15.86%；近5日涨幅=-19.12%；量能=0.71倍。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12.18；MA5 13.27；MA10 13.87；MA20 14.48。若跌破MA5，短线反弹降温；若跌破MA20，反弹结构可能明显转弱。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当前价格：6.71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指标摘要：RSI6/RSI12=25.1/33.4；K/D/J=14.5/17.9/7.7；偏离MA20=-7.80%；近5日涨幅=-9.45%；量能=1.17倍。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6.71；MA5 6.83；MA10 7.07；MA20 7.28。若跌破MA5，短线反弹降温；若跌破MA20，反弹结构可能明显转弱。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