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- 2026-10-27</w:t>
      </w:r>
    </w:p>
    <w:p>
      <w:pPr>
        <w:pStyle w:val="ListBullet"/>
      </w:pPr>
      <w:r>
        <w:t>生成时间（美东）：2026-10-27 22:21:54 EDT</w:t>
      </w:r>
    </w:p>
    <w:p>
      <w:pPr>
        <w:pStyle w:val="ListBullet"/>
      </w:pPr>
      <w:r>
        <w:t>最新可用交易日：2026-10-27</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TSLA</w:t>
            </w:r>
          </w:p>
        </w:tc>
        <w:tc>
          <w:tcPr>
            <w:tcW w:type="dxa" w:w="960"/>
          </w:tcPr>
          <w:p>
            <w:r>
              <w:t>Tesla, Inc.</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13.36%</w:t>
            </w:r>
          </w:p>
        </w:tc>
        <w:tc>
          <w:tcPr>
            <w:tcW w:type="dxa" w:w="960"/>
          </w:tcPr>
          <w:p>
            <w:r>
              <w:t>1.163</w:t>
            </w:r>
          </w:p>
        </w:tc>
        <w:tc>
          <w:tcPr>
            <w:tcW w:type="dxa" w:w="960"/>
          </w:tcPr>
          <w:p>
            <w:r>
              <w:t>1.20</w:t>
            </w:r>
          </w:p>
        </w:tc>
        <w:tc>
          <w:tcPr>
            <w:tcW w:type="dxa" w:w="960"/>
          </w:tcPr>
          <w:p>
            <w:r>
              <w:t>股价突破布林线上轨，但成交量确认不足，可能是假突破，需要下一交易日确认。</w:t>
            </w:r>
          </w:p>
        </w:tc>
      </w:tr>
      <w:tr>
        <w:tc>
          <w:tcPr>
            <w:tcW w:type="dxa" w:w="960"/>
          </w:tcPr>
          <w:p>
            <w:r>
              <w:t>MSFT</w:t>
            </w:r>
          </w:p>
        </w:tc>
        <w:tc>
          <w:tcPr>
            <w:tcW w:type="dxa" w:w="960"/>
          </w:tcPr>
          <w:p>
            <w:r>
              <w:t>Microsoft Corporation</w:t>
            </w:r>
          </w:p>
        </w:tc>
        <w:tc>
          <w:tcPr>
            <w:tcW w:type="dxa" w:w="960"/>
          </w:tcPr>
          <w:p>
            <w:r>
              <w:t>C 观察信号</w:t>
            </w:r>
          </w:p>
        </w:tc>
        <w:tc>
          <w:tcPr>
            <w:tcW w:type="dxa" w:w="960"/>
          </w:tcPr>
          <w:p>
            <w:r>
              <w:t>弱收口：Bandwidth低于近8个月30%分位且最近8个交易日及以上连续下降；中轨附近窄幅震荡</w:t>
            </w:r>
          </w:p>
        </w:tc>
        <w:tc>
          <w:tcPr>
            <w:tcW w:type="dxa" w:w="960"/>
          </w:tcPr>
          <w:p>
            <w:r>
              <w:t>中轨附近</w:t>
            </w:r>
          </w:p>
        </w:tc>
        <w:tc>
          <w:tcPr>
            <w:tcW w:type="dxa" w:w="960"/>
          </w:tcPr>
          <w:p>
            <w:r>
              <w:t>6.28%</w:t>
            </w:r>
          </w:p>
        </w:tc>
        <w:tc>
          <w:tcPr>
            <w:tcW w:type="dxa" w:w="960"/>
          </w:tcPr>
          <w:p>
            <w:r>
              <w:t>0.570</w:t>
            </w:r>
          </w:p>
        </w:tc>
        <w:tc>
          <w:tcPr>
            <w:tcW w:type="dxa" w:w="960"/>
          </w:tcPr>
          <w:p>
            <w:r>
              <w:t>0.97</w:t>
            </w:r>
          </w:p>
        </w:tc>
        <w:tc>
          <w:tcPr>
            <w:tcW w:type="dxa" w:w="960"/>
          </w:tcPr>
          <w:p>
            <w:r>
              <w:t>布林带收口，说明波动率下降，股价可能处于蓄势阶段，但方向尚未确认。</w:t>
            </w:r>
          </w:p>
        </w:tc>
      </w:tr>
    </w:tbl>
    <w:p>
      <w:pPr>
        <w:pStyle w:val="Heading2"/>
      </w:pPr>
      <w:r>
        <w:t>二、重点结论</w:t>
      </w:r>
    </w:p>
    <w:p>
      <w:pPr>
        <w:pStyle w:val="ListBullet"/>
      </w:pPr>
      <w:r>
        <w:t>强信号：无。</w:t>
      </w:r>
    </w:p>
    <w:p>
      <w:pPr>
        <w:pStyle w:val="ListBullet"/>
      </w:pPr>
      <w:r>
        <w:t>中等信号：无。</w:t>
      </w:r>
    </w:p>
    <w:p>
      <w:pPr>
        <w:pStyle w:val="ListBullet"/>
      </w:pPr>
      <w:r>
        <w:t>观察信号：TSLA, MSFT。</w:t>
      </w:r>
    </w:p>
    <w:p>
      <w:pPr>
        <w:pStyle w:val="ListBullet"/>
      </w:pPr>
      <w:r>
        <w:t>今日优先复核：TSLA, MSFT。优先看是否放量、能否站稳上轨或中轨。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TSLA - Tesla, Inc.</w:t>
      </w:r>
    </w:p>
    <w:p>
      <w:pPr>
        <w:pStyle w:val="ListBullet"/>
      </w:pPr>
      <w:r>
        <w:t>信号等级：C 观察信号</w:t>
      </w:r>
    </w:p>
    <w:p>
      <w:pPr>
        <w:pStyle w:val="ListBullet"/>
      </w:pPr>
      <w:r>
        <w:t>最新收盘价：$407.46</w:t>
      </w:r>
    </w:p>
    <w:p>
      <w:pPr>
        <w:pStyle w:val="ListBullet"/>
      </w:pPr>
      <w:r>
        <w:t>BOLL：上轨 $399.31；中轨 $374.31；下轨 $349.30</w:t>
      </w:r>
    </w:p>
    <w:p>
      <w:pPr>
        <w:pStyle w:val="ListBullet"/>
      </w:pPr>
      <w:r>
        <w:t>Bandwidth：13.36%；历史分位：34.52%；%B：1.163</w:t>
      </w:r>
    </w:p>
    <w:p>
      <w:pPr>
        <w:pStyle w:val="ListBullet"/>
      </w:pPr>
      <w:r>
        <w:t>成交量：当日 45189400；20日均量 37573075；量比 1.20</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风险提示：突破上轨但成交量不足，存在假突破风险。；股价明显高于上轨，短线可能过热，需防回踩。；尚未连续两日站上上轨，需要下一交易日确认。</w:t>
      </w:r>
    </w:p>
    <w:p>
      <w:pPr>
        <w:pStyle w:val="Heading3"/>
      </w:pPr>
      <w:r>
        <w:t>MSFT - Microsoft Corporation</w:t>
      </w:r>
    </w:p>
    <w:p>
      <w:pPr>
        <w:pStyle w:val="ListBullet"/>
      </w:pPr>
      <w:r>
        <w:t>信号等级：C 观察信号</w:t>
      </w:r>
    </w:p>
    <w:p>
      <w:pPr>
        <w:pStyle w:val="ListBullet"/>
      </w:pPr>
      <w:r>
        <w:t>最新收盘价：$531.33</w:t>
      </w:r>
    </w:p>
    <w:p>
      <w:pPr>
        <w:pStyle w:val="ListBullet"/>
      </w:pPr>
      <w:r>
        <w:t>BOLL：上轨 $545.60；中轨 $528.99；下轨 $512.38</w:t>
      </w:r>
    </w:p>
    <w:p>
      <w:pPr>
        <w:pStyle w:val="ListBullet"/>
      </w:pPr>
      <w:r>
        <w:t>Bandwidth：6.28%；历史分位：9.52%；%B：0.570</w:t>
      </w:r>
    </w:p>
    <w:p>
      <w:pPr>
        <w:pStyle w:val="ListBullet"/>
      </w:pPr>
      <w:r>
        <w:t>成交量：当日 19503300；20日均量 20073540；量比 0.97</w:t>
      </w:r>
    </w:p>
    <w:p>
      <w:pPr>
        <w:pStyle w:val="ListBullet"/>
      </w:pPr>
      <w:r>
        <w:t>触发信号：弱收口：Bandwidth低于近8个月30%分位且最近8个交易日及以上连续下降；中轨附近窄幅震荡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p>
      <w:r>
        <w:t>未发现数据异常或无法判断的股票。</w:t>
      </w:r>
    </w:p>
    <w:p>
      <w:pPr>
        <w:pStyle w:val="Heading2"/>
      </w:pPr>
      <w:r>
        <w:t>五、无明显 BOLL 信号</w:t>
      </w:r>
    </w:p>
    <w:p>
      <w:r>
        <w:t>NOK（Nokia Oyj）, XE（X-energy）, RKLB（Rocket Lab USA）, NBIS（Nebius Group）, ARM（Arm Holdings）, OPTX（Syntec Optics Holdings）, GLW（Corning）, COHR（Coherent）, LITE（Lumentum Holdings）, MRVL（Marvell Technology）, INTC（Intel）, ALAB（Astera Labs）, CRWV（CoreWeave）, ORCL（Oracle）, NVTS（Navitas Semiconductor）, POET（POET Technologies）, DELL（Dell Technologies）, BB（BlackBerry）, ONDS（Ondas Holdings）, SMR（NuScale Power）, OKLO（Oklo）, IONQ（IonQ）, QBTS（D-Wave Quantum）, NVDA（NVIDIA）, AMZN（Amazon.com）, AMD（Advanced Micro Devices）, CRCL（Circle Internet Group）, FLY（Firefly Aerospace）, CBRS（Chain Bridge Bancorp）, SIVEF（Sivers Semiconductors）, SHAZ（Shaz）, LUNR（Intuitive Machines）, ASTS（AST SpaceMobile）, AAOI（Applied Optoelectronics）, SPCX（Space Exploration Technologies）, RDW（Redwire Corporation）, QCOM（QUALCOMM Incorporated）, COIN（Coinbase Global, Inc.）, VELO（Velo3D, Inc.）, GOOG（Alphabet Inc.）, AVGO（Broadcom Inc.）, AMAT（Applied Materials, Inc.）, AMKR（Amkor Technology, Inc.）, LRCX（Lam Research Corporation）, SNDK（Sandisk Corporation）, MU（Micron Technology, Inc.）, PLTR（Palantir Technologies Inc.）, IBM（International Business Machines）, FORM（FormFactor, Inc.）, MXL（MaxLinear, Inc）, MRNA（Moderna, Inc.）, BE（Bloom Energy Corporation）</w:t>
      </w:r>
    </w:p>
    <w:p>
      <w:r>
        <w:br w:type="page"/>
      </w:r>
    </w:p>
    <w:p>
      <w:pPr>
        <w:pStyle w:val="Heading2"/>
      </w:pPr>
      <w:r>
        <w:t>六、触发股票 BOLL 图表</w:t>
      </w:r>
    </w:p>
    <w:p>
      <w:pPr>
        <w:pStyle w:val="Heading3"/>
      </w:pPr>
      <w:r>
        <w:t>TSLA - Tesla, Inc.</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TSLA_BOLL.png"/>
                    <pic:cNvPicPr/>
                  </pic:nvPicPr>
                  <pic:blipFill>
                    <a:blip r:embed="rId9"/>
                    <a:stretch>
                      <a:fillRect/>
                    </a:stretch>
                  </pic:blipFill>
                  <pic:spPr>
                    <a:xfrm>
                      <a:off x="0" y="0"/>
                      <a:ext cx="6035040" cy="4054793"/>
                    </a:xfrm>
                    <a:prstGeom prst="rect"/>
                  </pic:spPr>
                </pic:pic>
              </a:graphicData>
            </a:graphic>
          </wp:inline>
        </w:drawing>
      </w:r>
    </w:p>
    <w:p>
      <w:pPr>
        <w:pStyle w:val="Heading3"/>
      </w:pPr>
      <w:r>
        <w:t>MSFT - Microsoft Corporation</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MSFT_BOLL.png"/>
                    <pic:cNvPicPr/>
                  </pic:nvPicPr>
                  <pic:blipFill>
                    <a:blip r:embed="rId10"/>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