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报告日期：2026-10-27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7.03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41.96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59.57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19.90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76.95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11.56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81.58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6.65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当前价格：7.03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RSI：RSI6=49.9；RSI12=45.9；RSI24=46.5；未进入过热见顶评分</w:t>
      </w:r>
    </w:p>
    <w:p>
      <w:pPr>
        <w:pStyle w:val="ListBullet"/>
      </w:pPr>
      <w:r>
        <w:t>MA20/50/200：MA20=7.70；MA50=7.66；MA200=8.14；MA20高于MA50；近60日收益为正</w:t>
      </w:r>
    </w:p>
    <w:p>
      <w:pPr>
        <w:pStyle w:val="ListBullet"/>
      </w:pPr>
      <w:r>
        <w:t>成交量变化：Volume/MA20=0.54倍；成交量为20日均量的0.54倍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7.03；MA20 7.70；MA50 7.66；MA200 8.14。若后续有效跌破MA50，趋势进一步恶化的概率上升。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当前价格：41.96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RSI：RSI6=43.6；RSI12=36.5；RSI24=38.5；未进入过热见顶评分</w:t>
      </w:r>
    </w:p>
    <w:p>
      <w:pPr>
        <w:pStyle w:val="ListBullet"/>
      </w:pPr>
      <w:r>
        <w:t>MA20/50/200：MA20=48.71；MA50=56.46；MA200=78.30；未满足上升趋势过滤条件</w:t>
      </w:r>
    </w:p>
    <w:p>
      <w:pPr>
        <w:pStyle w:val="ListBullet"/>
      </w:pPr>
      <w:r>
        <w:t>成交量变化：Volume/MA20=0.86倍；成交量为20日均量的0.86倍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41.96；MA20 48.71；MA50 56.46；MA200 78.30。若后续有效跌破MA50，趋势进一步恶化的概率上升。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当前价格：59.57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RSI：RSI6=38.8；RSI12=34.2；RSI24=38.0；未进入过热见顶评分</w:t>
      </w:r>
    </w:p>
    <w:p>
      <w:pPr>
        <w:pStyle w:val="ListBullet"/>
      </w:pPr>
      <w:r>
        <w:t>MA20/50/200：MA20=73.06；MA50=81.34；MA200=91.79；未满足上升趋势过滤条件</w:t>
      </w:r>
    </w:p>
    <w:p>
      <w:pPr>
        <w:pStyle w:val="ListBullet"/>
      </w:pPr>
      <w:r>
        <w:t>成交量变化：Volume/MA20=0.96倍；成交量为20日均量的0.96倍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59.57；MA20 73.06；MA50 81.34；MA200 91.79。若后续有效跌破MA50，趋势进一步恶化的概率上升。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当前价格：19.90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RSI：RSI6=68.4；RSI12=52.8；RSI24=47.2；未进入过热见顶评分</w:t>
      </w:r>
    </w:p>
    <w:p>
      <w:pPr>
        <w:pStyle w:val="ListBullet"/>
      </w:pPr>
      <w:r>
        <w:t>MA20/50/200：MA20=19.54；MA50=21.22；MA200=27.35；收盘价站上MA20</w:t>
      </w:r>
    </w:p>
    <w:p>
      <w:pPr>
        <w:pStyle w:val="ListBullet"/>
      </w:pPr>
      <w:r>
        <w:t>成交量变化：Volume/MA20=1.14倍；成交量为20日均量的1.14倍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19.90；MA20 19.54；MA50 21.22；MA200 27.35。若后续有效跌破MA50，趋势进一步恶化的概率上升。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当前价格：76.95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RSI：RSI6=43.7；RSI12=39.1；RSI24=41.3；未进入过热见顶评分</w:t>
      </w:r>
    </w:p>
    <w:p>
      <w:pPr>
        <w:pStyle w:val="ListBullet"/>
      </w:pPr>
      <w:r>
        <w:t>MA20/50/200：MA20=93.63；MA50=101.80；MA200=113.54；未满足上升趋势过滤条件</w:t>
      </w:r>
    </w:p>
    <w:p>
      <w:pPr>
        <w:pStyle w:val="ListBullet"/>
      </w:pPr>
      <w:r>
        <w:t>成交量变化：Volume/MA20=0.79倍；成交量为20日均量的0.79倍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76.95；MA20 93.63；MA50 101.80；MA200 113.54。若后续有效跌破MA50，趋势进一步恶化的概率上升。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当前价格：11.56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RSI：RSI6=55.2；RSI12=43.1；RSI24=41.6；未进入过热见顶评分</w:t>
      </w:r>
    </w:p>
    <w:p>
      <w:pPr>
        <w:pStyle w:val="ListBullet"/>
      </w:pPr>
      <w:r>
        <w:t>MA20/50/200：MA20=12.36；MA50=14.30；MA200=19.88；未满足上升趋势过滤条件</w:t>
      </w:r>
    </w:p>
    <w:p>
      <w:pPr>
        <w:pStyle w:val="ListBullet"/>
      </w:pPr>
      <w:r>
        <w:t>成交量变化：Volume/MA20=1.03倍；成交量为20日均量的1.03倍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11.56；MA20 12.36；MA50 14.30；MA200 19.88。若后续有效跌破MA50，趋势进一步恶化的概率上升。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当前价格：81.58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RSI：RSI6=42.7；RSI12=45.7；RSI24=48.2；未进入过热见顶评分</w:t>
      </w:r>
    </w:p>
    <w:p>
      <w:pPr>
        <w:pStyle w:val="ListBullet"/>
      </w:pPr>
      <w:r>
        <w:t>MA20/50/200：MA20=83.39；MA50=87.26；MA200=86.15；MA50高于MA200；MA50斜率向上；近60日收益为正</w:t>
      </w:r>
    </w:p>
    <w:p>
      <w:pPr>
        <w:pStyle w:val="ListBullet"/>
      </w:pPr>
      <w:r>
        <w:t>成交量变化：Volume/MA20=0.73倍；成交量为20日均量的0.73倍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81.58；MA20 83.39；MA50 87.26；MA200 86.15。若后续有效跌破MA50，趋势进一步恶化的概率上升。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当前价格：6.65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RSI：RSI6=63.0；RSI12=49.8；RSI24=45.2；未进入过热见顶评分</w:t>
      </w:r>
    </w:p>
    <w:p>
      <w:pPr>
        <w:pStyle w:val="ListBullet"/>
      </w:pPr>
      <w:r>
        <w:t>MA20/50/200：MA20=6.63；MA50=7.31；MA200=9.14；收盘价站上MA20</w:t>
      </w:r>
    </w:p>
    <w:p>
      <w:pPr>
        <w:pStyle w:val="ListBullet"/>
      </w:pPr>
      <w:r>
        <w:t>成交量变化：Volume/MA20=0.98倍；成交量为20日均量的0.98倍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6.65；MA20 6.63；MA50 7.31；MA200 9.14。若后续有效跌破MA50，趋势进一步恶化的概率上升。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