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报告日期：2026-10-27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IBRX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8.63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9.55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QSI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1.65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IBRX</w:t>
      </w:r>
    </w:p>
    <w:p>
      <w:r>
        <w:t>基础信息：日期 2026-10-27；当前价格 8.63；信号等级 A. 强信号。</w:t>
      </w:r>
    </w:p>
    <w:p>
      <w:r>
        <w:t>BOLL：上轨 10.93；中轨 9.35；下轨 7.78；Bandwidth 33.67%。</w:t>
      </w:r>
    </w:p>
    <w:p>
      <w:r>
        <w:t>MACD：DIF -0.1351；DEA 0.0824；MACD柱 -0.2175；是否死叉：是。</w:t>
      </w:r>
    </w:p>
    <w:p>
      <w:r>
        <w:t>RSI：RSI6 47.45；RSI12 46.57；RSI24 50.02。</w:t>
      </w:r>
    </w:p>
    <w:p>
      <w:r>
        <w:t>均线：MA20 9.35；MA50 8.66；MA200 N/A。</w:t>
      </w:r>
    </w:p>
    <w:p>
      <w:r>
        <w:t>成交量：当日成交量 10491400；20日平均成交量 16268225；成交量倍数 0.64。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BB</w:t>
      </w:r>
    </w:p>
    <w:p>
      <w:r>
        <w:t>基础信息：日期 2026-10-27；当前价格 9.55；信号等级 C. 观察信号。</w:t>
      </w:r>
    </w:p>
    <w:p>
      <w:r>
        <w:t>BOLL：上轨 9.73；中轨 8.85；下轨 7.98；Bandwidth 19.68%。</w:t>
      </w:r>
    </w:p>
    <w:p>
      <w:r>
        <w:t>MACD：DIF 0.1697；DEA 0.1032；MACD柱 0.0666；是否死叉：是。</w:t>
      </w:r>
    </w:p>
    <w:p>
      <w:r>
        <w:t>RSI：RSI6 65.12；RSI12 59.54；RSI24 56.21。</w:t>
      </w:r>
    </w:p>
    <w:p>
      <w:r>
        <w:t>均线：MA20 8.85；MA50 8.38；MA200 N/A。</w:t>
      </w:r>
    </w:p>
    <w:p>
      <w:r>
        <w:t>成交量：当日成交量 10798100；20日平均成交量 14631135；成交量倍数 0.74。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QSI</w:t>
      </w:r>
    </w:p>
    <w:p>
      <w:r>
        <w:t>基础信息：日期 2026-10-27；当前价格 1.65；信号等级 C. 观察信号。</w:t>
      </w:r>
    </w:p>
    <w:p>
      <w:r>
        <w:t>BOLL：上轨 1.63；中轨 1.32；下轨 1.00；Bandwidth 48.05%。</w:t>
      </w:r>
    </w:p>
    <w:p>
      <w:r>
        <w:t>MACD：DIF 0.1201；DEA 0.1065；MACD柱 0.0136；是否死叉：是。</w:t>
      </w:r>
    </w:p>
    <w:p>
      <w:r>
        <w:t>RSI：RSI6 75.36；RSI12 67.52；RSI24 63.77。</w:t>
      </w:r>
    </w:p>
    <w:p>
      <w:r>
        <w:t>均线：MA20 1.32；MA50 0.99；MA200 N/A。</w:t>
      </w:r>
    </w:p>
    <w:p>
      <w:r>
        <w:t>成交量：当日成交量 16472300；20日平均成交量 12371970；成交量倍数 1.33。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IBRX：A. 强信号。触发条件：1.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8.66 的支撑或压力变化。</w:t>
      </w:r>
    </w:p>
    <w:p>
      <w:r>
        <w:t>BB：C. 观察信号。触发条件：1. 启动前提：股价从近期高位跌破BOLL中轨；3. 跌破中轨日前后6个交易日内MACD出现死叉。当前属于观察信号，需要后续交易日确认是否继续走弱，同时关注 MA50 附近 8.38 的支撑或压力变化。</w:t>
      </w:r>
    </w:p>
    <w:p>
      <w:r>
        <w:t>QSI：C. 观察信号。触发条件：1. 启动前提：股价从近期高位跌破BOLL中轨；3. 跌破中轨日前后6个交易日内MACD出现死叉。当前属于观察信号，需要后续交易日确认是否继续走弱，同时关注 MA50 附近 0.99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