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报告日期：2026-10-27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19.90</w:t>
            </w:r>
          </w:p>
        </w:tc>
        <w:tc>
          <w:tcPr>
            <w:tcW w:type="dxa" w:w="1234"/>
          </w:tcPr>
          <w:p>
            <w:r>
              <w:t>J线大于100；近5日涨幅超过15%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6.65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41.96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76.95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11.56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7.03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59.57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81.58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当前价格：19.90</w:t>
      </w:r>
    </w:p>
    <w:p>
      <w:r>
        <w:t>短线状态：短线反弹确认；反弹确认分：7</w:t>
      </w:r>
    </w:p>
    <w:p>
      <w:r>
        <w:t>短线风险分：3；风险等级：短线反弹正常</w:t>
      </w:r>
    </w:p>
    <w:p>
      <w:r>
        <w:t>指标摘要：RSI6/RSI12=68.4/52.8；K/D/J=66.5/44.7/109.9；偏离MA20=1.84%；近5日涨幅=21.98%；量能=1.14倍。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近5日涨幅超过15%</w:t>
      </w:r>
    </w:p>
    <w:p>
      <w:r>
        <w:t>建议观察位置：当前价格 19.90；MA5 18.31；MA10 17.61；MA20 19.54。若跌破MA5，短线反弹降温；若跌破MA20，反弹结构可能明显转弱。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当前价格：6.65</w:t>
      </w:r>
    </w:p>
    <w:p>
      <w:r>
        <w:t>短线状态：短线反弹确认；反弹确认分：5</w:t>
      </w:r>
    </w:p>
    <w:p>
      <w:r>
        <w:t>短线风险分：0；风险等级：短线反弹正常</w:t>
      </w:r>
    </w:p>
    <w:p>
      <w:r>
        <w:t>指标摘要：RSI6/RSI12=63.0/49.8；K/D/J=54.0/35.7/90.6；偏离MA20=0.26%；近5日涨幅=9.02%；量能=0.98倍。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6.65；MA5 6.26；MA10 6.20；MA20 6.63。若跌破MA5，短线反弹降温；若跌破MA20，反弹结构可能明显转弱。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当前价格：41.96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指标摘要：RSI6/RSI12=43.6/36.5；K/D/J=34.2/21.2/60.2；偏离MA20=-13.85%；近5日涨幅=2.02%；量能=0.86倍。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41.96；MA5 40.17；MA10 41.11；MA20 48.71。若跌破MA5，短线反弹降温；若跌破MA20，反弹结构可能明显转弱。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当前价格：76.95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指标摘要：RSI6/RSI12=43.7/39.1；K/D/J=26.0/15.5/47.0；偏离MA20=-17.82%；近5日涨幅=0.27%；量能=0.79倍。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76.95；MA5 72.36；MA10 76.22；MA20 93.63。若跌破MA5，短线反弹降温；若跌破MA20，反弹结构可能明显转弱。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当前价格：11.56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指标摘要：RSI6/RSI12=55.2/43.1；K/D/J=41.1/24.0/75.2；偏离MA20=-6.50%；近5日涨幅=9.68%；量能=1.03倍。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11.56；MA5 10.78；MA10 10.86；MA20 12.36。若跌破MA5，短线反弹降温；若跌破MA20，反弹结构可能明显转弱。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当前价格：7.03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指标摘要：RSI6/RSI12=49.9/45.9；K/D/J=38.4/27.1/60.9；偏离MA20=-8.68%；近5日涨幅=-0.42%；量能=0.54倍。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7.03；MA5 6.81；MA10 6.81；MA20 7.70。若跌破MA5，短线反弹降温；若跌破MA20，反弹结构可能明显转弱。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当前价格：59.57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指标摘要：RSI6/RSI12=38.8/34.2；K/D/J=23.2/16.3/37.1；偏离MA20=-18.46%；近5日涨幅=-4.12%；量能=0.96倍。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59.57；MA5 57.28；MA10 60.65；MA20 73.06。若跌破MA5，短线反弹降温；若跌破MA20，反弹结构可能明显转弱。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当前价格：81.58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指标摘要：RSI6/RSI12=42.7/45.7；K/D/J=48.4/56.6/32.0；偏离MA20=-2.17%；近5日涨幅=-5.00%；量能=0.73倍。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81.58；MA5 84.73；MA10 83.96；MA20 83.39。若跌破MA5，短线反弹降温；若跌破MA20，反弹结构可能明显转弱。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