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E12142">
      <w:pPr>
        <w:widowControl w:val="0"/>
        <w:adjustRightInd w:val="0"/>
        <w:spacing w:line="240" w:lineRule="auto"/>
        <w:ind w:firstLine="0" w:firstLineChars="0"/>
        <w:contextualSpacing/>
        <w:jc w:val="center"/>
        <w:outlineLvl w:val="4"/>
        <w:rPr>
          <w:rFonts w:ascii="Times New Roman" w:hAnsi="Times New Roman" w:eastAsia="黑体" w:cs="Times New Roman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eastAsia="黑体" w:cs="Times New Roman"/>
          <w:color w:val="auto"/>
          <w:kern w:val="2"/>
          <w:sz w:val="21"/>
          <w:szCs w:val="24"/>
          <w:lang w:val="en-US" w:eastAsia="zh-CN" w:bidi="ar-SA"/>
        </w:rPr>
        <w:t>表1.1.1-</w:t>
      </w:r>
      <w:r>
        <w:rPr>
          <w:rFonts w:hint="eastAsia" w:ascii="Times New Roman" w:hAnsi="Times New Roman" w:eastAsia="黑体" w:cs="Times New Roman"/>
          <w:color w:val="auto"/>
          <w:kern w:val="2"/>
          <w:sz w:val="21"/>
          <w:szCs w:val="24"/>
          <w:lang w:val="en-US" w:eastAsia="zh-CN" w:bidi="ar-SA"/>
        </w:rPr>
        <w:t>7</w:t>
      </w:r>
      <w:r>
        <w:rPr>
          <w:rFonts w:ascii="Times New Roman" w:hAnsi="Times New Roman" w:eastAsia="黑体" w:cs="Times New Roman"/>
          <w:color w:val="auto"/>
          <w:kern w:val="2"/>
          <w:sz w:val="21"/>
          <w:szCs w:val="24"/>
          <w:lang w:val="en-US" w:eastAsia="zh-CN" w:bidi="ar-SA"/>
        </w:rPr>
        <w:t>水土保持指标对比分析表（与53号令指标对比）</w:t>
      </w:r>
    </w:p>
    <w:tbl>
      <w:tblPr>
        <w:tblStyle w:val="3"/>
        <w:tblW w:w="5000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1"/>
        <w:gridCol w:w="2364"/>
        <w:gridCol w:w="2361"/>
        <w:gridCol w:w="2364"/>
        <w:gridCol w:w="2362"/>
        <w:gridCol w:w="2362"/>
      </w:tblGrid>
      <w:tr w14:paraId="4EB1BD0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tblHeader/>
        </w:trPr>
        <w:tc>
          <w:tcPr>
            <w:tcW w:w="1667" w:type="pct"/>
            <w:gridSpan w:val="2"/>
            <w:vMerge w:val="restart"/>
            <w:vAlign w:val="center"/>
          </w:tcPr>
          <w:p w14:paraId="0EDF7234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变更内容</w:t>
            </w:r>
          </w:p>
        </w:tc>
        <w:tc>
          <w:tcPr>
            <w:tcW w:w="833" w:type="pct"/>
            <w:vAlign w:val="center"/>
          </w:tcPr>
          <w:p w14:paraId="2D2CE778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可研阶段</w:t>
            </w:r>
          </w:p>
        </w:tc>
        <w:tc>
          <w:tcPr>
            <w:tcW w:w="834" w:type="pct"/>
            <w:vMerge w:val="restart"/>
            <w:vAlign w:val="center"/>
          </w:tcPr>
          <w:p w14:paraId="2EB8B160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施工设计阶段（本方案）</w:t>
            </w:r>
          </w:p>
        </w:tc>
        <w:tc>
          <w:tcPr>
            <w:tcW w:w="833" w:type="pct"/>
            <w:vMerge w:val="restart"/>
            <w:vAlign w:val="center"/>
          </w:tcPr>
          <w:p w14:paraId="7E796DFD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变化情况</w:t>
            </w:r>
          </w:p>
        </w:tc>
        <w:tc>
          <w:tcPr>
            <w:tcW w:w="833" w:type="pct"/>
            <w:vMerge w:val="restart"/>
            <w:vAlign w:val="center"/>
          </w:tcPr>
          <w:p w14:paraId="137D7302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是否</w:t>
            </w: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涉及</w:t>
            </w: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变更</w:t>
            </w:r>
          </w:p>
        </w:tc>
      </w:tr>
      <w:tr w14:paraId="5807A7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tblHeader/>
        </w:trPr>
        <w:tc>
          <w:tcPr>
            <w:tcW w:w="1667" w:type="pct"/>
            <w:gridSpan w:val="2"/>
            <w:vMerge w:val="continue"/>
            <w:vAlign w:val="center"/>
          </w:tcPr>
          <w:p w14:paraId="13ACF927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33" w:type="pct"/>
            <w:vAlign w:val="center"/>
          </w:tcPr>
          <w:p w14:paraId="6DDF1792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（原批复方案）</w:t>
            </w:r>
          </w:p>
        </w:tc>
        <w:tc>
          <w:tcPr>
            <w:tcW w:w="834" w:type="pct"/>
            <w:vMerge w:val="continue"/>
            <w:vAlign w:val="center"/>
          </w:tcPr>
          <w:p w14:paraId="2298240B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33" w:type="pct"/>
            <w:vMerge w:val="continue"/>
            <w:vAlign w:val="center"/>
          </w:tcPr>
          <w:p w14:paraId="41AB71F8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33" w:type="pct"/>
            <w:vMerge w:val="continue"/>
            <w:vAlign w:val="center"/>
          </w:tcPr>
          <w:p w14:paraId="694004DE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2F49A44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2" w:hRule="atLeast"/>
        </w:trPr>
        <w:tc>
          <w:tcPr>
            <w:tcW w:w="833" w:type="pct"/>
            <w:vMerge w:val="restart"/>
            <w:vAlign w:val="center"/>
          </w:tcPr>
          <w:p w14:paraId="38AAB321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第十六条  水土保持方案经批准后存在下列情形之一的，生产建设单位应当补充或者修改水土保持方案，报原审批部门审批</w:t>
            </w:r>
          </w:p>
        </w:tc>
        <w:tc>
          <w:tcPr>
            <w:tcW w:w="834" w:type="pct"/>
            <w:vAlign w:val="center"/>
          </w:tcPr>
          <w:p w14:paraId="07A6D7A0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（1）工程扰动新涉及国家级和省级水土流失重点预防区或者重点治理区</w:t>
            </w:r>
          </w:p>
        </w:tc>
        <w:tc>
          <w:tcPr>
            <w:tcW w:w="833" w:type="pct"/>
            <w:vAlign w:val="center"/>
          </w:tcPr>
          <w:p w14:paraId="26AAD86A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湘资沅中游国家级水土流失重点治理区</w:t>
            </w:r>
          </w:p>
        </w:tc>
        <w:tc>
          <w:tcPr>
            <w:tcW w:w="834" w:type="pct"/>
            <w:vAlign w:val="center"/>
          </w:tcPr>
          <w:p w14:paraId="033D1255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湘资沅中游国家级水土流失重点治理区</w:t>
            </w:r>
          </w:p>
        </w:tc>
        <w:tc>
          <w:tcPr>
            <w:tcW w:w="833" w:type="pct"/>
            <w:vAlign w:val="center"/>
          </w:tcPr>
          <w:p w14:paraId="58F506B7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无变化</w:t>
            </w:r>
          </w:p>
        </w:tc>
        <w:tc>
          <w:tcPr>
            <w:tcW w:w="833" w:type="pct"/>
            <w:vAlign w:val="center"/>
          </w:tcPr>
          <w:p w14:paraId="4B0F9165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不涉及</w:t>
            </w:r>
          </w:p>
        </w:tc>
      </w:tr>
      <w:tr w14:paraId="7F753D3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atLeast"/>
        </w:trPr>
        <w:tc>
          <w:tcPr>
            <w:tcW w:w="833" w:type="pct"/>
            <w:vMerge w:val="continue"/>
            <w:vAlign w:val="center"/>
          </w:tcPr>
          <w:p w14:paraId="37306122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34" w:type="pct"/>
            <w:vAlign w:val="center"/>
          </w:tcPr>
          <w:p w14:paraId="560B1C4F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（2）水土流失防治责任范围增加30%以上的</w:t>
            </w:r>
          </w:p>
        </w:tc>
        <w:tc>
          <w:tcPr>
            <w:tcW w:w="833" w:type="pct"/>
            <w:vAlign w:val="center"/>
          </w:tcPr>
          <w:p w14:paraId="0349DD11">
            <w:pPr>
              <w:keepNext w:val="0"/>
              <w:keepLines w:val="0"/>
              <w:widowControl w:val="0"/>
              <w:suppressLineNumbers w:val="0"/>
              <w:bidi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eastAsia" w:ascii="Times New Roman" w:hAnsi="Times New Roman" w:eastAsia="方正仿宋_GB2312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49.23h</w:t>
            </w: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m</w:t>
            </w: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vertAlign w:val="superscript"/>
                <w:lang w:val="en-US" w:eastAsia="zh-CN" w:bidi="ar-SA"/>
              </w:rPr>
              <w:t>2</w:t>
            </w:r>
            <w:bookmarkStart w:id="0" w:name="_GoBack"/>
            <w:bookmarkEnd w:id="0"/>
          </w:p>
        </w:tc>
        <w:tc>
          <w:tcPr>
            <w:tcW w:w="834" w:type="pct"/>
            <w:vAlign w:val="center"/>
          </w:tcPr>
          <w:p w14:paraId="43B28AE6">
            <w:pPr>
              <w:keepNext w:val="0"/>
              <w:keepLines w:val="0"/>
              <w:widowControl w:val="0"/>
              <w:suppressLineNumbers w:val="0"/>
              <w:bidi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eastAsia" w:ascii="Times New Roman" w:hAnsi="Times New Roman" w:eastAsia="方正仿宋_GB2312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20.9922hm</w:t>
            </w: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vertAlign w:val="superscript"/>
                <w:lang w:val="en-US" w:eastAsia="zh-CN" w:bidi="ar-SA"/>
              </w:rPr>
              <w:t>2</w:t>
            </w:r>
          </w:p>
        </w:tc>
        <w:tc>
          <w:tcPr>
            <w:tcW w:w="833" w:type="pct"/>
            <w:vAlign w:val="center"/>
          </w:tcPr>
          <w:p w14:paraId="33877C77">
            <w:pPr>
              <w:keepNext w:val="0"/>
              <w:keepLines w:val="0"/>
              <w:widowControl w:val="0"/>
              <w:suppressLineNumbers w:val="0"/>
              <w:bidi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eastAsia" w:ascii="Times New Roman" w:hAnsi="Times New Roman" w:eastAsia="方正仿宋_GB2312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减幅57.36%</w:t>
            </w:r>
          </w:p>
        </w:tc>
        <w:tc>
          <w:tcPr>
            <w:tcW w:w="833" w:type="pct"/>
            <w:vAlign w:val="center"/>
          </w:tcPr>
          <w:p w14:paraId="6FBEA2B7">
            <w:pPr>
              <w:keepNext w:val="0"/>
              <w:keepLines w:val="0"/>
              <w:widowControl w:val="0"/>
              <w:suppressLineNumbers w:val="0"/>
              <w:bidi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不涉及</w:t>
            </w:r>
          </w:p>
        </w:tc>
      </w:tr>
      <w:tr w14:paraId="2FA2E1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atLeast"/>
        </w:trPr>
        <w:tc>
          <w:tcPr>
            <w:tcW w:w="833" w:type="pct"/>
            <w:vMerge w:val="continue"/>
            <w:vAlign w:val="center"/>
          </w:tcPr>
          <w:p w14:paraId="4FBB499E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34" w:type="pct"/>
            <w:vAlign w:val="center"/>
          </w:tcPr>
          <w:p w14:paraId="5F0400FF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（3）开挖填筑土石方总量增加30%以上的</w:t>
            </w:r>
          </w:p>
        </w:tc>
        <w:tc>
          <w:tcPr>
            <w:tcW w:w="2369" w:type="dxa"/>
            <w:vAlign w:val="center"/>
          </w:tcPr>
          <w:p w14:paraId="37A7253B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109.49万</w:t>
            </w: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m</w:t>
            </w: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vertAlign w:val="superscript"/>
                <w:lang w:val="en-US" w:eastAsia="zh-CN" w:bidi="ar-SA"/>
              </w:rPr>
              <w:t>3</w:t>
            </w:r>
          </w:p>
        </w:tc>
        <w:tc>
          <w:tcPr>
            <w:tcW w:w="2372" w:type="dxa"/>
            <w:vAlign w:val="center"/>
          </w:tcPr>
          <w:p w14:paraId="224C262C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43.42万m</w:t>
            </w: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vertAlign w:val="superscript"/>
                <w:lang w:val="en-US" w:eastAsia="zh-CN" w:bidi="ar-SA"/>
              </w:rPr>
              <w:t>3</w:t>
            </w:r>
          </w:p>
        </w:tc>
        <w:tc>
          <w:tcPr>
            <w:tcW w:w="2369" w:type="dxa"/>
            <w:vAlign w:val="center"/>
          </w:tcPr>
          <w:p w14:paraId="5E612260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减幅60.34%</w:t>
            </w:r>
          </w:p>
        </w:tc>
        <w:tc>
          <w:tcPr>
            <w:tcW w:w="833" w:type="pct"/>
            <w:vAlign w:val="center"/>
          </w:tcPr>
          <w:p w14:paraId="4F70A626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不涉及</w:t>
            </w:r>
          </w:p>
        </w:tc>
      </w:tr>
      <w:tr w14:paraId="0C63DF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8" w:hRule="atLeast"/>
        </w:trPr>
        <w:tc>
          <w:tcPr>
            <w:tcW w:w="833" w:type="pct"/>
            <w:vMerge w:val="continue"/>
            <w:vAlign w:val="center"/>
          </w:tcPr>
          <w:p w14:paraId="16B23309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34" w:type="pct"/>
            <w:vAlign w:val="center"/>
          </w:tcPr>
          <w:p w14:paraId="4D5CAEF2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（4）线型工程山区、丘陵区部分线路横向位移超过300米的长度累计达到该部分线路长度30%以上的</w:t>
            </w:r>
          </w:p>
        </w:tc>
        <w:tc>
          <w:tcPr>
            <w:tcW w:w="833" w:type="pct"/>
            <w:vAlign w:val="center"/>
          </w:tcPr>
          <w:p w14:paraId="77B0491C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道路总长34.50km</w:t>
            </w:r>
          </w:p>
        </w:tc>
        <w:tc>
          <w:tcPr>
            <w:tcW w:w="834" w:type="pct"/>
            <w:vAlign w:val="center"/>
          </w:tcPr>
          <w:p w14:paraId="40F1B726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eastAsia" w:ascii="Times New Roman" w:hAnsi="Times New Roman" w:eastAsia="方正仿宋_GB2312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道路总长15.85km，偏移14.46km，横向位移超过300米的长度累计13.21km</w:t>
            </w:r>
          </w:p>
        </w:tc>
        <w:tc>
          <w:tcPr>
            <w:tcW w:w="833" w:type="pct"/>
            <w:vAlign w:val="center"/>
          </w:tcPr>
          <w:p w14:paraId="140C0FF0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横向位移超过300米的长度累计达到91.29%</w:t>
            </w:r>
          </w:p>
        </w:tc>
        <w:tc>
          <w:tcPr>
            <w:tcW w:w="833" w:type="pct"/>
            <w:vAlign w:val="center"/>
          </w:tcPr>
          <w:p w14:paraId="2DCC2994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eastAsia" w:ascii="Times New Roman" w:hAnsi="Times New Roman" w:eastAsia="仿宋" w:cs="Times New Roman"/>
                <w:b/>
                <w:bCs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kern w:val="2"/>
                <w:sz w:val="21"/>
                <w:szCs w:val="24"/>
                <w:lang w:val="en-US" w:eastAsia="zh-CN" w:bidi="ar-SA"/>
              </w:rPr>
              <w:t>涉及</w:t>
            </w:r>
          </w:p>
        </w:tc>
      </w:tr>
      <w:tr w14:paraId="02E14D7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atLeast"/>
        </w:trPr>
        <w:tc>
          <w:tcPr>
            <w:tcW w:w="833" w:type="pct"/>
            <w:vMerge w:val="continue"/>
            <w:vAlign w:val="center"/>
          </w:tcPr>
          <w:p w14:paraId="6E901DF7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34" w:type="pct"/>
            <w:vAlign w:val="center"/>
          </w:tcPr>
          <w:p w14:paraId="29DA7029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（5）表土剥离量减少30.0%以上的</w:t>
            </w:r>
          </w:p>
        </w:tc>
        <w:tc>
          <w:tcPr>
            <w:tcW w:w="833" w:type="pct"/>
            <w:vAlign w:val="center"/>
          </w:tcPr>
          <w:p w14:paraId="3C0DB03C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eastAsia" w:ascii="Times New Roman" w:hAnsi="Times New Roman" w:eastAsia="方正仿宋_GB2312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5.60万</w:t>
            </w: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m</w:t>
            </w: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vertAlign w:val="superscript"/>
                <w:lang w:val="en-US" w:eastAsia="zh-CN" w:bidi="ar-SA"/>
              </w:rPr>
              <w:t>3</w:t>
            </w:r>
          </w:p>
        </w:tc>
        <w:tc>
          <w:tcPr>
            <w:tcW w:w="834" w:type="pct"/>
            <w:vAlign w:val="center"/>
          </w:tcPr>
          <w:p w14:paraId="742EB161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eastAsia" w:ascii="Times New Roman" w:hAnsi="Times New Roman" w:eastAsia="方正仿宋_GB2312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2.16万m</w:t>
            </w: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vertAlign w:val="superscript"/>
                <w:lang w:val="en-US" w:eastAsia="zh-CN" w:bidi="ar-SA"/>
              </w:rPr>
              <w:t>3</w:t>
            </w:r>
          </w:p>
        </w:tc>
        <w:tc>
          <w:tcPr>
            <w:tcW w:w="833" w:type="pct"/>
            <w:vAlign w:val="center"/>
          </w:tcPr>
          <w:p w14:paraId="3E57D04C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eastAsia" w:ascii="Times New Roman" w:hAnsi="Times New Roman" w:eastAsia="方正仿宋_GB2312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因工程扰动范围大幅减少，相应表土剥离和植物措施数量减少</w:t>
            </w:r>
          </w:p>
        </w:tc>
        <w:tc>
          <w:tcPr>
            <w:tcW w:w="833" w:type="pct"/>
            <w:vAlign w:val="center"/>
          </w:tcPr>
          <w:p w14:paraId="49DEC967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Times New Roman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不涉及</w:t>
            </w:r>
          </w:p>
        </w:tc>
      </w:tr>
      <w:tr w14:paraId="09CD8E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atLeast"/>
        </w:trPr>
        <w:tc>
          <w:tcPr>
            <w:tcW w:w="833" w:type="pct"/>
            <w:vMerge w:val="continue"/>
            <w:vAlign w:val="center"/>
          </w:tcPr>
          <w:p w14:paraId="18646D13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34" w:type="pct"/>
            <w:vAlign w:val="center"/>
          </w:tcPr>
          <w:p w14:paraId="5FB92BE6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（6）植物措施总面积减少30%以上的</w:t>
            </w:r>
          </w:p>
        </w:tc>
        <w:tc>
          <w:tcPr>
            <w:tcW w:w="833" w:type="pct"/>
            <w:vAlign w:val="center"/>
          </w:tcPr>
          <w:p w14:paraId="5DD5F7A9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eastAsia" w:ascii="Times New Roman" w:hAnsi="Times New Roman" w:eastAsia="方正仿宋_GB2312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32.80h</w:t>
            </w: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m</w:t>
            </w: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vertAlign w:val="superscript"/>
                <w:lang w:val="en-US" w:eastAsia="zh-CN" w:bidi="ar-SA"/>
              </w:rPr>
              <w:t>2</w:t>
            </w:r>
          </w:p>
        </w:tc>
        <w:tc>
          <w:tcPr>
            <w:tcW w:w="834" w:type="pct"/>
            <w:vAlign w:val="center"/>
          </w:tcPr>
          <w:p w14:paraId="748AF7D1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eastAsia" w:ascii="Times New Roman" w:hAnsi="Times New Roman" w:eastAsia="方正仿宋_GB2312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12.9976hm</w:t>
            </w: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vertAlign w:val="superscript"/>
                <w:lang w:val="en-US" w:eastAsia="zh-CN" w:bidi="ar-SA"/>
              </w:rPr>
              <w:t>2</w:t>
            </w:r>
          </w:p>
        </w:tc>
        <w:tc>
          <w:tcPr>
            <w:tcW w:w="833" w:type="pct"/>
            <w:vAlign w:val="center"/>
          </w:tcPr>
          <w:p w14:paraId="1251FC92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eastAsia" w:ascii="Times New Roman" w:hAnsi="Times New Roman" w:eastAsia="方正仿宋_GB2312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因工程扰动范围大幅减少，相应表土剥离和植物措施数量减少</w:t>
            </w:r>
          </w:p>
        </w:tc>
        <w:tc>
          <w:tcPr>
            <w:tcW w:w="833" w:type="pct"/>
            <w:vAlign w:val="center"/>
          </w:tcPr>
          <w:p w14:paraId="6E533963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Times New Roman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不涉及</w:t>
            </w:r>
          </w:p>
        </w:tc>
      </w:tr>
      <w:tr w14:paraId="5CEB5C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0" w:hRule="atLeast"/>
        </w:trPr>
        <w:tc>
          <w:tcPr>
            <w:tcW w:w="833" w:type="pct"/>
            <w:vMerge w:val="continue"/>
            <w:vAlign w:val="center"/>
          </w:tcPr>
          <w:p w14:paraId="2DE7DC5E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34" w:type="pct"/>
            <w:vAlign w:val="center"/>
          </w:tcPr>
          <w:p w14:paraId="32FDC13D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（7）水土保持重要单位工程措施发生变化，可能导致水土保持功能显著降低或者丧失的</w:t>
            </w:r>
          </w:p>
        </w:tc>
        <w:tc>
          <w:tcPr>
            <w:tcW w:w="1667" w:type="pct"/>
            <w:gridSpan w:val="2"/>
            <w:vAlign w:val="center"/>
          </w:tcPr>
          <w:p w14:paraId="4BEB18C0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后续设计阶段采纳了批复水土保持方案的水土保持措施体系</w:t>
            </w:r>
          </w:p>
        </w:tc>
        <w:tc>
          <w:tcPr>
            <w:tcW w:w="833" w:type="pct"/>
            <w:vAlign w:val="center"/>
          </w:tcPr>
          <w:p w14:paraId="1521648E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基本一致</w:t>
            </w:r>
          </w:p>
        </w:tc>
        <w:tc>
          <w:tcPr>
            <w:tcW w:w="833" w:type="pct"/>
            <w:vAlign w:val="center"/>
          </w:tcPr>
          <w:p w14:paraId="3D1B5728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不涉及</w:t>
            </w:r>
          </w:p>
        </w:tc>
      </w:tr>
      <w:tr w14:paraId="1AADEF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atLeast"/>
        </w:trPr>
        <w:tc>
          <w:tcPr>
            <w:tcW w:w="833" w:type="pct"/>
            <w:vMerge w:val="restart"/>
            <w:vAlign w:val="center"/>
          </w:tcPr>
          <w:p w14:paraId="4C491CA1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第十七条  在水土保持方案确定的弃渣场以外新设弃渣场的，或者因弃渣量增加导致弃渣场等级提高的，生产建设单位应当开展弃渣减量化、资源化论证，并在弃渣前编制水土保持方案补充报告，报原审批部门审批</w:t>
            </w:r>
          </w:p>
        </w:tc>
        <w:tc>
          <w:tcPr>
            <w:tcW w:w="834" w:type="pct"/>
            <w:vAlign w:val="center"/>
          </w:tcPr>
          <w:p w14:paraId="2BDC1CD0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（1）新设弃渣场</w:t>
            </w:r>
          </w:p>
        </w:tc>
        <w:tc>
          <w:tcPr>
            <w:tcW w:w="833" w:type="pct"/>
            <w:vAlign w:val="center"/>
          </w:tcPr>
          <w:p w14:paraId="364A269D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原方案16处弃渣场</w:t>
            </w:r>
          </w:p>
        </w:tc>
        <w:tc>
          <w:tcPr>
            <w:tcW w:w="834" w:type="pct"/>
            <w:vAlign w:val="center"/>
          </w:tcPr>
          <w:p w14:paraId="55B820B6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eastAsia" w:ascii="Times New Roman" w:hAnsi="Times New Roman" w:eastAsia="方正仿宋_GB2312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利用原方案2处弃渣场，新增</w:t>
            </w: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8处</w:t>
            </w:r>
          </w:p>
        </w:tc>
        <w:tc>
          <w:tcPr>
            <w:tcW w:w="833" w:type="pct"/>
            <w:vAlign w:val="center"/>
          </w:tcPr>
          <w:p w14:paraId="13CBD17E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eastAsia" w:ascii="Times New Roman" w:hAnsi="Times New Roman" w:eastAsia="方正仿宋_GB2312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新增</w:t>
            </w: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8处</w:t>
            </w:r>
          </w:p>
        </w:tc>
        <w:tc>
          <w:tcPr>
            <w:tcW w:w="833" w:type="pct"/>
            <w:vAlign w:val="center"/>
          </w:tcPr>
          <w:p w14:paraId="0D308D6B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eastAsia" w:ascii="Times New Roman" w:hAnsi="Times New Roman" w:eastAsia="仿宋" w:cs="Times New Roman"/>
                <w:b/>
                <w:bCs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kern w:val="2"/>
                <w:sz w:val="21"/>
                <w:szCs w:val="24"/>
                <w:lang w:val="en-US" w:eastAsia="zh-CN" w:bidi="ar-SA"/>
              </w:rPr>
              <w:t>涉及</w:t>
            </w:r>
          </w:p>
        </w:tc>
      </w:tr>
      <w:tr w14:paraId="5DC46E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atLeast"/>
        </w:trPr>
        <w:tc>
          <w:tcPr>
            <w:tcW w:w="833" w:type="pct"/>
            <w:vMerge w:val="continue"/>
            <w:vAlign w:val="center"/>
          </w:tcPr>
          <w:p w14:paraId="1DCFB2D6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34" w:type="pct"/>
            <w:vAlign w:val="center"/>
          </w:tcPr>
          <w:p w14:paraId="440C7510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（2）因弃渣量增加导致弃渣场等级提高的</w:t>
            </w:r>
          </w:p>
        </w:tc>
        <w:tc>
          <w:tcPr>
            <w:tcW w:w="833" w:type="pct"/>
            <w:vAlign w:val="center"/>
          </w:tcPr>
          <w:p w14:paraId="2CF3BEEE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均为5级渣场</w:t>
            </w:r>
          </w:p>
        </w:tc>
        <w:tc>
          <w:tcPr>
            <w:tcW w:w="834" w:type="pct"/>
            <w:vAlign w:val="center"/>
          </w:tcPr>
          <w:p w14:paraId="1DF07B51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Z4</w:t>
            </w: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、Z7</w:t>
            </w: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为5级渣场，其余渣场为4级</w:t>
            </w:r>
          </w:p>
        </w:tc>
        <w:tc>
          <w:tcPr>
            <w:tcW w:w="833" w:type="pct"/>
            <w:vAlign w:val="center"/>
          </w:tcPr>
          <w:p w14:paraId="2DB79783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等级提高</w:t>
            </w:r>
          </w:p>
        </w:tc>
        <w:tc>
          <w:tcPr>
            <w:tcW w:w="833" w:type="pct"/>
            <w:vAlign w:val="center"/>
          </w:tcPr>
          <w:p w14:paraId="773C4232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不涉及</w:t>
            </w:r>
          </w:p>
        </w:tc>
      </w:tr>
      <w:tr w14:paraId="6B06D5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667" w:type="pct"/>
            <w:gridSpan w:val="2"/>
            <w:vAlign w:val="center"/>
          </w:tcPr>
          <w:p w14:paraId="53D1F0C3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第十八条  水土保持方案自批准之日起满3年，生产建设项目方开工建设的，其水土保持方案应当报原审批部门重新审核</w:t>
            </w:r>
          </w:p>
        </w:tc>
        <w:tc>
          <w:tcPr>
            <w:tcW w:w="833" w:type="pct"/>
            <w:vAlign w:val="center"/>
          </w:tcPr>
          <w:p w14:paraId="380E4501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批复日期：2024年2月29日</w:t>
            </w:r>
          </w:p>
        </w:tc>
        <w:tc>
          <w:tcPr>
            <w:tcW w:w="834" w:type="pct"/>
            <w:vAlign w:val="center"/>
          </w:tcPr>
          <w:p w14:paraId="1679FAE0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开工日期：2024年</w:t>
            </w: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8</w:t>
            </w: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月开工</w:t>
            </w:r>
          </w:p>
        </w:tc>
        <w:tc>
          <w:tcPr>
            <w:tcW w:w="833" w:type="pct"/>
            <w:vAlign w:val="center"/>
          </w:tcPr>
          <w:p w14:paraId="609A301A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延期</w:t>
            </w: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5</w:t>
            </w: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个月</w:t>
            </w:r>
          </w:p>
        </w:tc>
        <w:tc>
          <w:tcPr>
            <w:tcW w:w="833" w:type="pct"/>
            <w:vAlign w:val="center"/>
          </w:tcPr>
          <w:p w14:paraId="16342F4A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不涉及</w:t>
            </w:r>
          </w:p>
        </w:tc>
      </w:tr>
    </w:tbl>
    <w:p w14:paraId="1E3B918F">
      <w:pPr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firstLine="0" w:firstLineChars="0"/>
        <w:contextualSpacing/>
        <w:jc w:val="center"/>
        <w:textAlignment w:val="auto"/>
        <w:outlineLvl w:val="4"/>
        <w:rPr>
          <w:rFonts w:ascii="Times New Roman" w:hAnsi="Times New Roman" w:eastAsia="黑体" w:cs="Times New Roman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eastAsia="黑体" w:cs="Times New Roman"/>
          <w:color w:val="auto"/>
          <w:kern w:val="2"/>
          <w:sz w:val="21"/>
          <w:szCs w:val="24"/>
          <w:lang w:val="en-US" w:eastAsia="zh-CN" w:bidi="ar-SA"/>
        </w:rPr>
        <w:t>表1.1.1-</w:t>
      </w:r>
      <w:r>
        <w:rPr>
          <w:rFonts w:hint="eastAsia" w:ascii="Times New Roman" w:hAnsi="Times New Roman" w:eastAsia="黑体" w:cs="Times New Roman"/>
          <w:color w:val="auto"/>
          <w:kern w:val="2"/>
          <w:sz w:val="21"/>
          <w:szCs w:val="24"/>
          <w:lang w:val="en-US" w:eastAsia="zh-CN" w:bidi="ar-SA"/>
        </w:rPr>
        <w:t>8</w:t>
      </w:r>
      <w:r>
        <w:rPr>
          <w:rFonts w:ascii="Times New Roman" w:hAnsi="Times New Roman" w:eastAsia="黑体" w:cs="Times New Roman"/>
          <w:color w:val="auto"/>
          <w:kern w:val="2"/>
          <w:sz w:val="21"/>
          <w:szCs w:val="24"/>
          <w:lang w:val="en-US" w:eastAsia="zh-CN" w:bidi="ar-SA"/>
        </w:rPr>
        <w:t>水土保持指标对比分析表（与14号文指标对比）</w:t>
      </w:r>
    </w:p>
    <w:tbl>
      <w:tblPr>
        <w:tblStyle w:val="3"/>
        <w:tblW w:w="5000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1"/>
        <w:gridCol w:w="2365"/>
        <w:gridCol w:w="2362"/>
        <w:gridCol w:w="2362"/>
        <w:gridCol w:w="2362"/>
        <w:gridCol w:w="2362"/>
      </w:tblGrid>
      <w:tr w14:paraId="6734AC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tblHeader/>
        </w:trPr>
        <w:tc>
          <w:tcPr>
            <w:tcW w:w="1667" w:type="pct"/>
            <w:gridSpan w:val="2"/>
            <w:vMerge w:val="restart"/>
            <w:vAlign w:val="center"/>
          </w:tcPr>
          <w:p w14:paraId="310CFF60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变更内容</w:t>
            </w:r>
          </w:p>
        </w:tc>
        <w:tc>
          <w:tcPr>
            <w:tcW w:w="833" w:type="pct"/>
            <w:vAlign w:val="center"/>
          </w:tcPr>
          <w:p w14:paraId="5AADE09D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可研阶段</w:t>
            </w:r>
          </w:p>
        </w:tc>
        <w:tc>
          <w:tcPr>
            <w:tcW w:w="833" w:type="pct"/>
            <w:vAlign w:val="center"/>
          </w:tcPr>
          <w:p w14:paraId="5B8EBF99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施工设计阶段</w:t>
            </w:r>
          </w:p>
        </w:tc>
        <w:tc>
          <w:tcPr>
            <w:tcW w:w="833" w:type="pct"/>
            <w:vMerge w:val="restart"/>
            <w:vAlign w:val="center"/>
          </w:tcPr>
          <w:p w14:paraId="0E594540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变化情况</w:t>
            </w:r>
          </w:p>
        </w:tc>
        <w:tc>
          <w:tcPr>
            <w:tcW w:w="833" w:type="pct"/>
            <w:vMerge w:val="restart"/>
            <w:vAlign w:val="center"/>
          </w:tcPr>
          <w:p w14:paraId="11C2549C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是否</w:t>
            </w: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涉及</w:t>
            </w: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变更</w:t>
            </w:r>
          </w:p>
        </w:tc>
      </w:tr>
      <w:tr w14:paraId="18AB3E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tblHeader/>
        </w:trPr>
        <w:tc>
          <w:tcPr>
            <w:tcW w:w="1667" w:type="pct"/>
            <w:gridSpan w:val="2"/>
            <w:vMerge w:val="continue"/>
            <w:vAlign w:val="center"/>
          </w:tcPr>
          <w:p w14:paraId="6ACB984C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33" w:type="pct"/>
            <w:vAlign w:val="center"/>
          </w:tcPr>
          <w:p w14:paraId="1F9E92F9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（原批复方案）</w:t>
            </w:r>
          </w:p>
        </w:tc>
        <w:tc>
          <w:tcPr>
            <w:tcW w:w="833" w:type="pct"/>
            <w:vAlign w:val="center"/>
          </w:tcPr>
          <w:p w14:paraId="21791B92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（本方案）</w:t>
            </w:r>
          </w:p>
        </w:tc>
        <w:tc>
          <w:tcPr>
            <w:tcW w:w="833" w:type="pct"/>
            <w:vMerge w:val="continue"/>
            <w:vAlign w:val="center"/>
          </w:tcPr>
          <w:p w14:paraId="3E2383F6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33" w:type="pct"/>
            <w:vMerge w:val="continue"/>
            <w:vAlign w:val="center"/>
          </w:tcPr>
          <w:p w14:paraId="738A38A0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005855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4" w:hRule="atLeast"/>
        </w:trPr>
        <w:tc>
          <w:tcPr>
            <w:tcW w:w="833" w:type="pct"/>
            <w:vMerge w:val="restart"/>
            <w:vAlign w:val="center"/>
          </w:tcPr>
          <w:p w14:paraId="7C7CF51F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第十七条  水土保持方案经批准后，生产建设项目地点、规模发生重大变化，有下列情况之一的，生产建设单位应当补充或者修改水土保持方案，并报原审批机关批准</w:t>
            </w:r>
          </w:p>
        </w:tc>
        <w:tc>
          <w:tcPr>
            <w:tcW w:w="833" w:type="pct"/>
            <w:vAlign w:val="center"/>
          </w:tcPr>
          <w:p w14:paraId="60D4AFFA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（1）需要重新办理立项审批（核准、备案）手续的</w:t>
            </w:r>
          </w:p>
        </w:tc>
        <w:tc>
          <w:tcPr>
            <w:tcW w:w="833" w:type="pct"/>
            <w:vAlign w:val="center"/>
          </w:tcPr>
          <w:p w14:paraId="5A7004A0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核准文号：湘发改许〔2023〕128号</w:t>
            </w:r>
          </w:p>
        </w:tc>
        <w:tc>
          <w:tcPr>
            <w:tcW w:w="833" w:type="pct"/>
            <w:vAlign w:val="center"/>
          </w:tcPr>
          <w:p w14:paraId="166E632A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核准文号：湘发改许〔2023〕128号</w:t>
            </w:r>
          </w:p>
        </w:tc>
        <w:tc>
          <w:tcPr>
            <w:tcW w:w="833" w:type="pct"/>
            <w:vAlign w:val="center"/>
          </w:tcPr>
          <w:p w14:paraId="23DF1176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无变化</w:t>
            </w:r>
          </w:p>
        </w:tc>
        <w:tc>
          <w:tcPr>
            <w:tcW w:w="833" w:type="pct"/>
            <w:vAlign w:val="center"/>
          </w:tcPr>
          <w:p w14:paraId="3FAD8F1E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不涉及</w:t>
            </w:r>
          </w:p>
        </w:tc>
      </w:tr>
      <w:tr w14:paraId="184700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4" w:hRule="atLeast"/>
        </w:trPr>
        <w:tc>
          <w:tcPr>
            <w:tcW w:w="833" w:type="pct"/>
            <w:vMerge w:val="continue"/>
            <w:vAlign w:val="center"/>
          </w:tcPr>
          <w:p w14:paraId="57C2D34B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33" w:type="pct"/>
            <w:vAlign w:val="center"/>
          </w:tcPr>
          <w:p w14:paraId="6830D7B6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（2）涉及国家级和省级水土流失重点预防区或者重点治理区的</w:t>
            </w:r>
          </w:p>
        </w:tc>
        <w:tc>
          <w:tcPr>
            <w:tcW w:w="833" w:type="pct"/>
            <w:vAlign w:val="center"/>
          </w:tcPr>
          <w:p w14:paraId="34D045D2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湘资沅中游国家级水土流失重点治理区</w:t>
            </w:r>
          </w:p>
        </w:tc>
        <w:tc>
          <w:tcPr>
            <w:tcW w:w="833" w:type="pct"/>
            <w:vAlign w:val="center"/>
          </w:tcPr>
          <w:p w14:paraId="351367ED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湘资沅中游国家级水土流失重点治理区</w:t>
            </w:r>
          </w:p>
        </w:tc>
        <w:tc>
          <w:tcPr>
            <w:tcW w:w="833" w:type="pct"/>
            <w:vAlign w:val="center"/>
          </w:tcPr>
          <w:p w14:paraId="4486B262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无变化</w:t>
            </w:r>
          </w:p>
        </w:tc>
        <w:tc>
          <w:tcPr>
            <w:tcW w:w="833" w:type="pct"/>
            <w:vAlign w:val="center"/>
          </w:tcPr>
          <w:p w14:paraId="7E7637C8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不涉及</w:t>
            </w:r>
          </w:p>
        </w:tc>
      </w:tr>
      <w:tr w14:paraId="555F35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atLeast"/>
        </w:trPr>
        <w:tc>
          <w:tcPr>
            <w:tcW w:w="833" w:type="pct"/>
            <w:vMerge w:val="continue"/>
            <w:vAlign w:val="center"/>
          </w:tcPr>
          <w:p w14:paraId="76E05B40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33" w:type="pct"/>
            <w:vAlign w:val="center"/>
          </w:tcPr>
          <w:p w14:paraId="1819B092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（3）水土流失防治责任范围增加30%及以上的</w:t>
            </w:r>
          </w:p>
        </w:tc>
        <w:tc>
          <w:tcPr>
            <w:tcW w:w="833" w:type="pct"/>
            <w:vAlign w:val="center"/>
          </w:tcPr>
          <w:p w14:paraId="2C979081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eastAsia" w:ascii="Times New Roman" w:hAnsi="Times New Roman" w:eastAsia="方正仿宋_GB2312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49.23h</w:t>
            </w: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m</w:t>
            </w: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vertAlign w:val="superscript"/>
                <w:lang w:val="en-US" w:eastAsia="zh-CN" w:bidi="ar-SA"/>
              </w:rPr>
              <w:t>2</w:t>
            </w:r>
          </w:p>
        </w:tc>
        <w:tc>
          <w:tcPr>
            <w:tcW w:w="833" w:type="pct"/>
            <w:vAlign w:val="center"/>
          </w:tcPr>
          <w:p w14:paraId="4D8F78EF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20.9922hm</w:t>
            </w: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vertAlign w:val="superscript"/>
                <w:lang w:val="en-US" w:eastAsia="zh-CN" w:bidi="ar-SA"/>
              </w:rPr>
              <w:t>2</w:t>
            </w:r>
          </w:p>
        </w:tc>
        <w:tc>
          <w:tcPr>
            <w:tcW w:w="833" w:type="pct"/>
            <w:vAlign w:val="center"/>
          </w:tcPr>
          <w:p w14:paraId="141F3B06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减幅57.36%</w:t>
            </w:r>
          </w:p>
        </w:tc>
        <w:tc>
          <w:tcPr>
            <w:tcW w:w="833" w:type="pct"/>
            <w:vAlign w:val="center"/>
          </w:tcPr>
          <w:p w14:paraId="0D2812A0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不涉及</w:t>
            </w:r>
          </w:p>
        </w:tc>
      </w:tr>
      <w:tr w14:paraId="7E3159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atLeast"/>
        </w:trPr>
        <w:tc>
          <w:tcPr>
            <w:tcW w:w="833" w:type="pct"/>
            <w:vMerge w:val="continue"/>
            <w:vAlign w:val="center"/>
          </w:tcPr>
          <w:p w14:paraId="4094643D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33" w:type="pct"/>
            <w:vAlign w:val="center"/>
          </w:tcPr>
          <w:p w14:paraId="17D651DA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（4）开挖填筑土石方总量增加30%及以上的</w:t>
            </w:r>
          </w:p>
        </w:tc>
        <w:tc>
          <w:tcPr>
            <w:tcW w:w="2369" w:type="dxa"/>
            <w:vAlign w:val="center"/>
          </w:tcPr>
          <w:p w14:paraId="140EDBEF">
            <w:pPr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Autospacing="0" w:line="500" w:lineRule="exact"/>
              <w:ind w:left="0" w:right="0" w:firstLine="420" w:firstLineChars="200"/>
              <w:contextualSpacing w:val="0"/>
              <w:jc w:val="center"/>
              <w:textAlignment w:val="center"/>
              <w:rPr>
                <w:rFonts w:hint="default" w:ascii="Times New Roman" w:hAnsi="Times New Roman" w:eastAsia="仿宋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109.49</w:t>
            </w:r>
            <w:r>
              <w:rPr>
                <w:rFonts w:hint="default" w:ascii="方正仿宋_GB2312" w:hAnsi="Times New Roman" w:eastAsia="方正仿宋_GB2312" w:cs="方正仿宋_GB2312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万</w:t>
            </w:r>
            <w:r>
              <w:rPr>
                <w:rFonts w:hint="eastAsia" w:ascii="Times New Roman" w:hAnsi="Times New Roman" w:eastAsia="仿宋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m</w:t>
            </w:r>
            <w:r>
              <w:rPr>
                <w:rFonts w:hint="eastAsia" w:ascii="Times New Roman" w:hAnsi="Times New Roman" w:eastAsia="仿宋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3</w:t>
            </w:r>
          </w:p>
        </w:tc>
        <w:tc>
          <w:tcPr>
            <w:tcW w:w="2369" w:type="dxa"/>
            <w:vAlign w:val="center"/>
          </w:tcPr>
          <w:p w14:paraId="19181B18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43.42万m</w:t>
            </w: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vertAlign w:val="superscript"/>
                <w:lang w:val="en-US" w:eastAsia="zh-CN" w:bidi="ar-SA"/>
              </w:rPr>
              <w:t>3</w:t>
            </w:r>
          </w:p>
        </w:tc>
        <w:tc>
          <w:tcPr>
            <w:tcW w:w="2370" w:type="dxa"/>
            <w:vAlign w:val="center"/>
          </w:tcPr>
          <w:p w14:paraId="4CD43532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减幅60.34%</w:t>
            </w:r>
          </w:p>
        </w:tc>
        <w:tc>
          <w:tcPr>
            <w:tcW w:w="833" w:type="pct"/>
            <w:vAlign w:val="center"/>
          </w:tcPr>
          <w:p w14:paraId="040991F7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不涉及</w:t>
            </w:r>
          </w:p>
        </w:tc>
      </w:tr>
      <w:tr w14:paraId="37CFB8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8" w:hRule="atLeast"/>
        </w:trPr>
        <w:tc>
          <w:tcPr>
            <w:tcW w:w="833" w:type="pct"/>
            <w:vMerge w:val="continue"/>
            <w:vAlign w:val="center"/>
          </w:tcPr>
          <w:p w14:paraId="463789F0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33" w:type="pct"/>
            <w:vAlign w:val="center"/>
          </w:tcPr>
          <w:p w14:paraId="5BB38DA2">
            <w:pPr>
              <w:keepNext w:val="0"/>
              <w:keepLines w:val="0"/>
              <w:widowControl w:val="0"/>
              <w:suppressLineNumbers w:val="0"/>
              <w:bidi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（5）线型工程山区、丘陵区部分横向位移超过300米的长度累计达到该工程线路长度20%及以上的</w:t>
            </w:r>
          </w:p>
        </w:tc>
        <w:tc>
          <w:tcPr>
            <w:tcW w:w="833" w:type="pct"/>
            <w:vAlign w:val="center"/>
          </w:tcPr>
          <w:p w14:paraId="124D6AB4">
            <w:pPr>
              <w:keepNext w:val="0"/>
              <w:keepLines w:val="0"/>
              <w:widowControl w:val="0"/>
              <w:suppressLineNumbers w:val="0"/>
              <w:bidi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道路总长34.50km</w:t>
            </w:r>
          </w:p>
        </w:tc>
        <w:tc>
          <w:tcPr>
            <w:tcW w:w="2369" w:type="dxa"/>
            <w:vAlign w:val="center"/>
          </w:tcPr>
          <w:p w14:paraId="3F032F9E">
            <w:pPr>
              <w:keepNext w:val="0"/>
              <w:keepLines w:val="0"/>
              <w:widowControl w:val="0"/>
              <w:suppressLineNumbers w:val="0"/>
              <w:bidi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道路总长15.85</w:t>
            </w: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km</w:t>
            </w: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，偏移14.46</w:t>
            </w: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km</w:t>
            </w: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，横向位移超过300米的长度累计13.21km</w:t>
            </w:r>
          </w:p>
        </w:tc>
        <w:tc>
          <w:tcPr>
            <w:tcW w:w="2370" w:type="dxa"/>
            <w:vAlign w:val="center"/>
          </w:tcPr>
          <w:p w14:paraId="78468B06">
            <w:pPr>
              <w:keepNext w:val="0"/>
              <w:keepLines w:val="0"/>
              <w:widowControl w:val="0"/>
              <w:suppressLineNumbers w:val="0"/>
              <w:bidi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横向位移超过300米的长度累计达到91.29%</w:t>
            </w:r>
          </w:p>
        </w:tc>
        <w:tc>
          <w:tcPr>
            <w:tcW w:w="833" w:type="pct"/>
            <w:vAlign w:val="center"/>
          </w:tcPr>
          <w:p w14:paraId="45506216">
            <w:pPr>
              <w:keepNext w:val="0"/>
              <w:keepLines w:val="0"/>
              <w:widowControl w:val="0"/>
              <w:suppressLineNumbers w:val="0"/>
              <w:bidi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涉及</w:t>
            </w:r>
          </w:p>
        </w:tc>
      </w:tr>
      <w:tr w14:paraId="0198AE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4" w:hRule="atLeast"/>
        </w:trPr>
        <w:tc>
          <w:tcPr>
            <w:tcW w:w="833" w:type="pct"/>
            <w:vMerge w:val="continue"/>
            <w:vAlign w:val="center"/>
          </w:tcPr>
          <w:p w14:paraId="36D42D80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33" w:type="pct"/>
            <w:vAlign w:val="center"/>
          </w:tcPr>
          <w:p w14:paraId="04E2677D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（6）施工道路或伴行道路等长度增加20%及以上的</w:t>
            </w:r>
          </w:p>
        </w:tc>
        <w:tc>
          <w:tcPr>
            <w:tcW w:w="833" w:type="pct"/>
            <w:vAlign w:val="center"/>
          </w:tcPr>
          <w:p w14:paraId="7CA8CDAB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道路总长34.50km</w:t>
            </w:r>
          </w:p>
        </w:tc>
        <w:tc>
          <w:tcPr>
            <w:tcW w:w="833" w:type="pct"/>
            <w:vAlign w:val="center"/>
          </w:tcPr>
          <w:p w14:paraId="72E72037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eastAsia" w:ascii="Times New Roman" w:hAnsi="Times New Roman" w:eastAsia="方正仿宋_GB2312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道路总长</w:t>
            </w: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15.85km</w:t>
            </w:r>
          </w:p>
        </w:tc>
        <w:tc>
          <w:tcPr>
            <w:tcW w:w="833" w:type="pct"/>
            <w:vAlign w:val="center"/>
          </w:tcPr>
          <w:p w14:paraId="27CBCB01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减幅52.17%</w:t>
            </w:r>
          </w:p>
        </w:tc>
        <w:tc>
          <w:tcPr>
            <w:tcW w:w="833" w:type="pct"/>
            <w:vAlign w:val="center"/>
          </w:tcPr>
          <w:p w14:paraId="5037A3EE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不涉及</w:t>
            </w:r>
          </w:p>
        </w:tc>
      </w:tr>
      <w:tr w14:paraId="6FD2473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2" w:hRule="atLeast"/>
        </w:trPr>
        <w:tc>
          <w:tcPr>
            <w:tcW w:w="833" w:type="pct"/>
            <w:vMerge w:val="continue"/>
            <w:vAlign w:val="center"/>
          </w:tcPr>
          <w:p w14:paraId="59708080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33" w:type="pct"/>
            <w:vAlign w:val="center"/>
          </w:tcPr>
          <w:p w14:paraId="4BFE8DCF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（7）桥梁改路堤或者隧道改路堑累计长度达到该工程线路总长度10%及以上</w:t>
            </w:r>
          </w:p>
        </w:tc>
        <w:tc>
          <w:tcPr>
            <w:tcW w:w="833" w:type="pct"/>
            <w:vAlign w:val="center"/>
          </w:tcPr>
          <w:p w14:paraId="7F93254C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/</w:t>
            </w:r>
          </w:p>
        </w:tc>
        <w:tc>
          <w:tcPr>
            <w:tcW w:w="833" w:type="pct"/>
            <w:vAlign w:val="center"/>
          </w:tcPr>
          <w:p w14:paraId="4B0AD26A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/</w:t>
            </w:r>
          </w:p>
        </w:tc>
        <w:tc>
          <w:tcPr>
            <w:tcW w:w="833" w:type="pct"/>
            <w:vAlign w:val="center"/>
          </w:tcPr>
          <w:p w14:paraId="79370572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/</w:t>
            </w:r>
          </w:p>
        </w:tc>
        <w:tc>
          <w:tcPr>
            <w:tcW w:w="833" w:type="pct"/>
            <w:vAlign w:val="center"/>
          </w:tcPr>
          <w:p w14:paraId="4ED8D78E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/</w:t>
            </w:r>
          </w:p>
        </w:tc>
      </w:tr>
      <w:tr w14:paraId="629367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atLeast"/>
        </w:trPr>
        <w:tc>
          <w:tcPr>
            <w:tcW w:w="833" w:type="pct"/>
            <w:vMerge w:val="continue"/>
            <w:vAlign w:val="center"/>
          </w:tcPr>
          <w:p w14:paraId="7102E0A5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33" w:type="pct"/>
            <w:vAlign w:val="center"/>
          </w:tcPr>
          <w:p w14:paraId="167107DD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（8）风电工程风机点位变化数量超出原设计风机数量30%及以上的</w:t>
            </w:r>
          </w:p>
        </w:tc>
        <w:tc>
          <w:tcPr>
            <w:tcW w:w="833" w:type="pct"/>
            <w:vAlign w:val="center"/>
          </w:tcPr>
          <w:p w14:paraId="09476EBF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9台</w:t>
            </w:r>
          </w:p>
        </w:tc>
        <w:tc>
          <w:tcPr>
            <w:tcW w:w="833" w:type="pct"/>
            <w:vAlign w:val="center"/>
          </w:tcPr>
          <w:p w14:paraId="1470577A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风机总数8台</w:t>
            </w:r>
          </w:p>
        </w:tc>
        <w:tc>
          <w:tcPr>
            <w:tcW w:w="833" w:type="pct"/>
            <w:vAlign w:val="center"/>
          </w:tcPr>
          <w:p w14:paraId="34D89EBD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变化11.11%</w:t>
            </w:r>
          </w:p>
        </w:tc>
        <w:tc>
          <w:tcPr>
            <w:tcW w:w="833" w:type="pct"/>
            <w:vAlign w:val="center"/>
          </w:tcPr>
          <w:p w14:paraId="754E9412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不涉及</w:t>
            </w:r>
          </w:p>
        </w:tc>
      </w:tr>
      <w:tr w14:paraId="694480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6" w:hRule="atLeast"/>
        </w:trPr>
        <w:tc>
          <w:tcPr>
            <w:tcW w:w="833" w:type="pct"/>
            <w:vMerge w:val="continue"/>
            <w:vAlign w:val="center"/>
          </w:tcPr>
          <w:p w14:paraId="4BF4C327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33" w:type="pct"/>
            <w:vAlign w:val="center"/>
          </w:tcPr>
          <w:p w14:paraId="07EF8C3C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（9）在批准的取土</w:t>
            </w: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(</w:t>
            </w: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包括砂、石等</w:t>
            </w: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)</w:t>
            </w: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场外新增取土场，且单个在5万立方米及以上的，或者增加单个取土场取土量30%及以上的</w:t>
            </w:r>
          </w:p>
        </w:tc>
        <w:tc>
          <w:tcPr>
            <w:tcW w:w="833" w:type="pct"/>
            <w:vAlign w:val="center"/>
          </w:tcPr>
          <w:p w14:paraId="0BE37DD7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/</w:t>
            </w:r>
          </w:p>
        </w:tc>
        <w:tc>
          <w:tcPr>
            <w:tcW w:w="833" w:type="pct"/>
            <w:vAlign w:val="center"/>
          </w:tcPr>
          <w:p w14:paraId="315F62BE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/</w:t>
            </w:r>
          </w:p>
        </w:tc>
        <w:tc>
          <w:tcPr>
            <w:tcW w:w="833" w:type="pct"/>
            <w:vAlign w:val="center"/>
          </w:tcPr>
          <w:p w14:paraId="335BF15C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/</w:t>
            </w:r>
          </w:p>
        </w:tc>
        <w:tc>
          <w:tcPr>
            <w:tcW w:w="833" w:type="pct"/>
            <w:vAlign w:val="center"/>
          </w:tcPr>
          <w:p w14:paraId="69472432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/</w:t>
            </w:r>
          </w:p>
        </w:tc>
      </w:tr>
      <w:tr w14:paraId="34AD8B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8" w:hRule="atLeast"/>
        </w:trPr>
        <w:tc>
          <w:tcPr>
            <w:tcW w:w="833" w:type="pct"/>
            <w:vMerge w:val="restart"/>
            <w:vAlign w:val="center"/>
          </w:tcPr>
          <w:p w14:paraId="040F5016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第十八条  水土保持方案实施过程中，水土保持措施发生下列重大变更之一的，生产建设单位应当补充或者修改水土保持方案，并报原审批机关批准</w:t>
            </w:r>
          </w:p>
        </w:tc>
        <w:tc>
          <w:tcPr>
            <w:tcW w:w="833" w:type="pct"/>
            <w:vAlign w:val="center"/>
          </w:tcPr>
          <w:p w14:paraId="5A801443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（1）表土剥离量减少30%及以上的</w:t>
            </w:r>
          </w:p>
        </w:tc>
        <w:tc>
          <w:tcPr>
            <w:tcW w:w="2369" w:type="dxa"/>
            <w:vAlign w:val="center"/>
          </w:tcPr>
          <w:p w14:paraId="7E9637FC">
            <w:pPr>
              <w:keepNext w:val="0"/>
              <w:keepLines w:val="0"/>
              <w:widowControl w:val="0"/>
              <w:suppressLineNumbers w:val="0"/>
              <w:bidi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5.60万</w:t>
            </w: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m</w:t>
            </w: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vertAlign w:val="superscript"/>
                <w:lang w:val="en-US" w:eastAsia="zh-CN" w:bidi="ar-SA"/>
              </w:rPr>
              <w:t>3</w:t>
            </w:r>
          </w:p>
        </w:tc>
        <w:tc>
          <w:tcPr>
            <w:tcW w:w="2369" w:type="dxa"/>
            <w:vAlign w:val="center"/>
          </w:tcPr>
          <w:p w14:paraId="63EEC318">
            <w:pPr>
              <w:keepNext w:val="0"/>
              <w:keepLines w:val="0"/>
              <w:widowControl w:val="0"/>
              <w:suppressLineNumbers w:val="0"/>
              <w:bidi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2.16万m</w:t>
            </w: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vertAlign w:val="superscript"/>
                <w:lang w:val="en-US" w:eastAsia="zh-CN" w:bidi="ar-SA"/>
              </w:rPr>
              <w:t>3</w:t>
            </w:r>
          </w:p>
        </w:tc>
        <w:tc>
          <w:tcPr>
            <w:tcW w:w="2370" w:type="dxa"/>
            <w:vAlign w:val="center"/>
          </w:tcPr>
          <w:p w14:paraId="59BF55FF">
            <w:pPr>
              <w:keepNext w:val="0"/>
              <w:keepLines w:val="0"/>
              <w:widowControl w:val="0"/>
              <w:suppressLineNumbers w:val="0"/>
              <w:bidi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因工程扰动范围减少，相应表土剥离减少</w:t>
            </w:r>
          </w:p>
        </w:tc>
        <w:tc>
          <w:tcPr>
            <w:tcW w:w="833" w:type="pct"/>
            <w:vAlign w:val="center"/>
          </w:tcPr>
          <w:p w14:paraId="1C52EF28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不涉及</w:t>
            </w:r>
          </w:p>
        </w:tc>
      </w:tr>
      <w:tr w14:paraId="3A5E65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atLeast"/>
        </w:trPr>
        <w:tc>
          <w:tcPr>
            <w:tcW w:w="833" w:type="pct"/>
            <w:vMerge w:val="continue"/>
            <w:vAlign w:val="center"/>
          </w:tcPr>
          <w:p w14:paraId="00BA650E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33" w:type="pct"/>
            <w:vAlign w:val="center"/>
          </w:tcPr>
          <w:p w14:paraId="09C38CB3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（2）植物措施总面积减少30%及以上的</w:t>
            </w:r>
          </w:p>
        </w:tc>
        <w:tc>
          <w:tcPr>
            <w:tcW w:w="2369" w:type="dxa"/>
            <w:vAlign w:val="center"/>
          </w:tcPr>
          <w:p w14:paraId="2DF974DD">
            <w:pPr>
              <w:keepNext w:val="0"/>
              <w:keepLines w:val="0"/>
              <w:widowControl w:val="0"/>
              <w:suppressLineNumbers w:val="0"/>
              <w:bidi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32.80h</w:t>
            </w: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m</w:t>
            </w: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vertAlign w:val="superscript"/>
                <w:lang w:val="en-US" w:eastAsia="zh-CN" w:bidi="ar-SA"/>
              </w:rPr>
              <w:t>2</w:t>
            </w:r>
          </w:p>
        </w:tc>
        <w:tc>
          <w:tcPr>
            <w:tcW w:w="2369" w:type="dxa"/>
            <w:vAlign w:val="center"/>
          </w:tcPr>
          <w:p w14:paraId="56050C5A">
            <w:pPr>
              <w:keepNext w:val="0"/>
              <w:keepLines w:val="0"/>
              <w:widowControl w:val="0"/>
              <w:suppressLineNumbers w:val="0"/>
              <w:bidi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12.9976hm</w:t>
            </w: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vertAlign w:val="superscript"/>
                <w:lang w:val="en-US" w:eastAsia="zh-CN" w:bidi="ar-SA"/>
              </w:rPr>
              <w:t>2</w:t>
            </w:r>
          </w:p>
        </w:tc>
        <w:tc>
          <w:tcPr>
            <w:tcW w:w="2370" w:type="dxa"/>
            <w:vAlign w:val="center"/>
          </w:tcPr>
          <w:p w14:paraId="1AB7B486">
            <w:pPr>
              <w:keepNext w:val="0"/>
              <w:keepLines w:val="0"/>
              <w:widowControl w:val="0"/>
              <w:suppressLineNumbers w:val="0"/>
              <w:bidi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因工程扰动范围减少，相应植物措施数量减少</w:t>
            </w:r>
          </w:p>
        </w:tc>
        <w:tc>
          <w:tcPr>
            <w:tcW w:w="833" w:type="pct"/>
            <w:vAlign w:val="center"/>
          </w:tcPr>
          <w:p w14:paraId="14952FFB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不涉及</w:t>
            </w:r>
          </w:p>
        </w:tc>
      </w:tr>
      <w:tr w14:paraId="4987114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atLeast"/>
        </w:trPr>
        <w:tc>
          <w:tcPr>
            <w:tcW w:w="833" w:type="pct"/>
            <w:vMerge w:val="continue"/>
            <w:vAlign w:val="center"/>
          </w:tcPr>
          <w:p w14:paraId="526CD8B4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33" w:type="pct"/>
            <w:vAlign w:val="center"/>
          </w:tcPr>
          <w:p w14:paraId="34C252B9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（3）水土保持工程措施减少30%及以上的</w:t>
            </w:r>
          </w:p>
        </w:tc>
        <w:tc>
          <w:tcPr>
            <w:tcW w:w="2369" w:type="dxa"/>
            <w:vAlign w:val="center"/>
          </w:tcPr>
          <w:p w14:paraId="1DEC5B2D">
            <w:pPr>
              <w:keepNext w:val="0"/>
              <w:keepLines w:val="0"/>
              <w:widowControl w:val="0"/>
              <w:suppressLineNumbers w:val="0"/>
              <w:bidi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1.24h</w:t>
            </w: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m</w:t>
            </w: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vertAlign w:val="superscript"/>
                <w:lang w:val="en-US" w:eastAsia="zh-CN" w:bidi="ar-SA"/>
              </w:rPr>
              <w:t>2</w:t>
            </w:r>
          </w:p>
        </w:tc>
        <w:tc>
          <w:tcPr>
            <w:tcW w:w="2369" w:type="dxa"/>
            <w:vAlign w:val="center"/>
          </w:tcPr>
          <w:p w14:paraId="0F728A45">
            <w:pPr>
              <w:keepNext w:val="0"/>
              <w:keepLines w:val="0"/>
              <w:widowControl w:val="0"/>
              <w:suppressLineNumbers w:val="0"/>
              <w:bidi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highlight w:val="yellow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highlight w:val="none"/>
                <w:lang w:val="en-US" w:eastAsia="zh-CN" w:bidi="ar-SA"/>
              </w:rPr>
              <w:t>0.7459 h</w:t>
            </w: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highlight w:val="none"/>
                <w:lang w:val="en-US" w:eastAsia="zh-CN" w:bidi="ar-SA"/>
              </w:rPr>
              <w:t>m</w:t>
            </w: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highlight w:val="none"/>
                <w:vertAlign w:val="superscript"/>
                <w:lang w:val="en-US" w:eastAsia="zh-CN" w:bidi="ar-SA"/>
              </w:rPr>
              <w:t>2</w:t>
            </w:r>
          </w:p>
        </w:tc>
        <w:tc>
          <w:tcPr>
            <w:tcW w:w="2370" w:type="dxa"/>
            <w:vAlign w:val="center"/>
          </w:tcPr>
          <w:p w14:paraId="382F2008">
            <w:pPr>
              <w:keepNext w:val="0"/>
              <w:keepLines w:val="0"/>
              <w:widowControl w:val="0"/>
              <w:suppressLineNumbers w:val="0"/>
              <w:bidi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highlight w:val="yellow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因工程扰动范围减少，相应工程措施数量减少</w:t>
            </w:r>
          </w:p>
        </w:tc>
        <w:tc>
          <w:tcPr>
            <w:tcW w:w="833" w:type="pct"/>
            <w:vAlign w:val="center"/>
          </w:tcPr>
          <w:p w14:paraId="02EC97C5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不涉及</w:t>
            </w:r>
          </w:p>
        </w:tc>
      </w:tr>
      <w:tr w14:paraId="531275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0" w:hRule="atLeast"/>
        </w:trPr>
        <w:tc>
          <w:tcPr>
            <w:tcW w:w="833" w:type="pct"/>
            <w:vMerge w:val="restart"/>
            <w:vAlign w:val="center"/>
          </w:tcPr>
          <w:p w14:paraId="5DAE6074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第十九条  在批准的水土保持方案确定的弃渣场外新设弃渣场的，其单个弃渣场堆渣量在5万立方米及以上或者堆高在5米及以上的，或者需要提高单个弃渣场堆渣量20%及以上的，生产建设单位应当及时编制弃渣场变更水土保持方案补充报告书，并报原审批机关批准。取土场重大变更方案可纳入弃渣场变更水土保持方案补充报告书</w:t>
            </w:r>
          </w:p>
        </w:tc>
        <w:tc>
          <w:tcPr>
            <w:tcW w:w="833" w:type="pct"/>
            <w:vAlign w:val="center"/>
          </w:tcPr>
          <w:p w14:paraId="05B73190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（1）新设弃渣场，单个弃渣场堆渣量在5万立方米及以上或者堆高在5米及以上</w:t>
            </w:r>
          </w:p>
        </w:tc>
        <w:tc>
          <w:tcPr>
            <w:tcW w:w="833" w:type="pct"/>
            <w:vAlign w:val="center"/>
          </w:tcPr>
          <w:p w14:paraId="5FF5189C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16处弃渣场</w:t>
            </w:r>
          </w:p>
        </w:tc>
        <w:tc>
          <w:tcPr>
            <w:tcW w:w="833" w:type="pct"/>
            <w:vAlign w:val="center"/>
          </w:tcPr>
          <w:p w14:paraId="58BDF475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eastAsia" w:ascii="Times New Roman" w:hAnsi="Times New Roman" w:eastAsia="方正仿宋_GB2312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利用原方案2处弃渣场，新增</w:t>
            </w: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8处</w:t>
            </w:r>
          </w:p>
        </w:tc>
        <w:tc>
          <w:tcPr>
            <w:tcW w:w="833" w:type="pct"/>
            <w:vAlign w:val="center"/>
          </w:tcPr>
          <w:p w14:paraId="0A5819E7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新增</w:t>
            </w: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8</w:t>
            </w: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处，新增弃渣场堆高均大于5m</w:t>
            </w:r>
          </w:p>
        </w:tc>
        <w:tc>
          <w:tcPr>
            <w:tcW w:w="833" w:type="pct"/>
            <w:vAlign w:val="center"/>
          </w:tcPr>
          <w:p w14:paraId="70E66DE2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kern w:val="2"/>
                <w:sz w:val="21"/>
                <w:szCs w:val="24"/>
                <w:lang w:val="en-US" w:eastAsia="zh-CN" w:bidi="ar-SA"/>
              </w:rPr>
              <w:t>涉及</w:t>
            </w:r>
          </w:p>
        </w:tc>
      </w:tr>
      <w:tr w14:paraId="2732F63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atLeast"/>
        </w:trPr>
        <w:tc>
          <w:tcPr>
            <w:tcW w:w="833" w:type="pct"/>
            <w:vMerge w:val="continue"/>
            <w:vAlign w:val="center"/>
          </w:tcPr>
          <w:p w14:paraId="062FE065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33" w:type="pct"/>
            <w:vAlign w:val="center"/>
          </w:tcPr>
          <w:p w14:paraId="75C03796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（2）提高单个弃渣场堆渣量20%及以上</w:t>
            </w:r>
          </w:p>
        </w:tc>
        <w:tc>
          <w:tcPr>
            <w:tcW w:w="833" w:type="pct"/>
            <w:vAlign w:val="center"/>
          </w:tcPr>
          <w:p w14:paraId="6A217ED5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5处弃渣场</w:t>
            </w:r>
          </w:p>
        </w:tc>
        <w:tc>
          <w:tcPr>
            <w:tcW w:w="833" w:type="pct"/>
            <w:vAlign w:val="center"/>
          </w:tcPr>
          <w:p w14:paraId="220BAFA3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eastAsia" w:ascii="Times New Roman" w:hAnsi="Times New Roman" w:eastAsia="方正仿宋_GB2312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利用原方案2处弃渣场，新增</w:t>
            </w: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8处</w:t>
            </w:r>
          </w:p>
        </w:tc>
        <w:tc>
          <w:tcPr>
            <w:tcW w:w="833" w:type="pct"/>
            <w:vAlign w:val="center"/>
          </w:tcPr>
          <w:p w14:paraId="355DB62A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原方案1处弃渣场弃渣量增加7.81%</w:t>
            </w:r>
          </w:p>
        </w:tc>
        <w:tc>
          <w:tcPr>
            <w:tcW w:w="833" w:type="pct"/>
            <w:vAlign w:val="center"/>
          </w:tcPr>
          <w:p w14:paraId="67223AB4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right="0" w:firstLine="0" w:firstLineChars="0"/>
              <w:contextualSpacing/>
              <w:jc w:val="center"/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  <w:t>不涉及</w:t>
            </w:r>
          </w:p>
        </w:tc>
      </w:tr>
    </w:tbl>
    <w:p w14:paraId="20A96553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仿宋_GB2312">
    <w:altName w:val="仿宋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Arial Unicode MS">
    <w:altName w:val="宋体"/>
    <w:panose1 w:val="020B0604020202020204"/>
    <w:charset w:val="86"/>
    <w:family w:val="roman"/>
    <w:pitch w:val="default"/>
    <w:sig w:usb0="00000000" w:usb1="00000000" w:usb2="0000007F" w:usb3="00000000" w:csb0="203F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87410C"/>
    <w:rsid w:val="2834568E"/>
    <w:rsid w:val="45CA2C87"/>
    <w:rsid w:val="73874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2026-08-22T12:38:00Z</dcterms:created>
  <dc:creator>颜智超</dc:creator>
  <cp:lastModifiedBy>颜智超</cp:lastModifiedBy>
  <dcterms:modified xsi:type="dcterms:W3CDTF">2026-08-22T12:38:43Z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56CABACEAC2249FC805207E7CCD3ECA4_11</vt:lpwstr>
  </property>
  <property fmtid="{D5CDD505-2E9C-101B-9397-08002B2CF9AE}" pid="4" name="KSOTemplateDocerSaveRecord">
    <vt:lpwstr>eyJoZGlkIjoiNDkyZGQ4YTgzY2FmNmUzNTVjN2ZhNTFkZDg0N2Y4ZGMiLCJ1c2VySWQiOiI1NzEyMjU5NTUifQ==</vt:lpwstr>
  </property>
</Properties>
</file>