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A0EFA">
      <w:pPr>
        <w:pStyle w:val="15"/>
        <w:keepLines w:val="0"/>
        <w:widowControl/>
        <w:jc w:val="left"/>
      </w:pPr>
      <w:r>
        <w:rPr>
          <w:rFonts w:ascii="Times New Roman" w:hAnsi="Times New Roman" w:eastAsia="Times New Roman" w:cs="Times New Roman"/>
          <w:color w:val="000000"/>
          <w:sz w:val="20"/>
        </w:rPr>
        <w:t>A drift-aware and deployment-oriented evaluation framework for fish multi-object tracking in digital aquaculture</w:t>
      </w:r>
    </w:p>
    <w:p w14:paraId="07564D16">
      <w:pPr>
        <w:pStyle w:val="30"/>
        <w:keepNext/>
        <w:keepLines w:val="0"/>
        <w:widowControl/>
        <w:spacing w:before="0" w:after="80"/>
        <w:jc w:val="left"/>
      </w:pPr>
      <w:r>
        <w:rPr>
          <w:rFonts w:ascii="Times New Roman" w:hAnsi="Times New Roman" w:eastAsia="Times New Roman" w:cs="Times New Roman"/>
          <w:color w:val="000000"/>
          <w:sz w:val="20"/>
        </w:rPr>
        <w:t>Abstract</w:t>
      </w:r>
    </w:p>
    <w:p w14:paraId="1633A78F">
      <w:pPr>
        <w:pStyle w:val="31"/>
        <w:keepLines w:val="0"/>
        <w:widowControl/>
        <w:spacing w:line="276" w:lineRule="auto" w:before="0" w:after="80"/>
        <w:jc w:val="both"/>
        <w:rPr>
          <w:rFonts w:hint="eastAsia" w:eastAsia="宋体"/>
          <w:lang w:eastAsia="zh-CN"/>
        </w:rPr>
      </w:pPr>
      <w:r>
        <w:rPr>
          <w:rFonts w:hint="eastAsia" w:eastAsia="Times New Roman" w:ascii="Times New Roman" w:hAnsi="Times New Roman" w:cs="Times New Roman"/>
          <w:color w:val="000000"/>
          <w:sz w:val="20"/>
          <w:lang w:eastAsia="zh-CN"/>
        </w:rPr>
        <w:t>This study presents a reproducible evaluation framework for fish multi-object tracking and counting in digital aquaculture, with an emphasis on drift-aware robustness analysis and deployment-oriented assessment.</w:t>
      </w:r>
      <w:r>
        <w:rPr>
          <w:rFonts w:ascii="Times New Roman" w:hAnsi="Times New Roman" w:eastAsia="Times New Roman" w:cs="Times New Roman"/>
          <w:color w:val="000000"/>
          <w:sz w:val="20"/>
        </w:rPr>
        <w:t xml:space="preserve"> Rather than claiming across-the-board gains, we integrate run-configuration locking, data-ingestion checks, manifest hash tracing, controlled detector degradation (drop/jitter), quantile stratified difficulty analysis, count stability metrics, and runtime profiling in one reproducible pipeline. On a frozen val-half snapshot (8 sequences, 1000 frames each, seeds 0/1/2), Base reports HOTA 58.232 ± 0.304 and IDF1 64.042 ± 0.550, while ByteTrack reports HOTA 58.431 ± 0.291 and IDF1 64.011 ± 0.545. The +gating/+traj/+adaptive variants expose explicit trade-offs rather than monotonic gains. Controlled degradation and bucketed diagnostics show where failures accumulate (especially low-confidence and turning regimes), while runtime profiling separates lightweight options (Base, +gating) from high-cost options (+traj, +adaptive). We translate these observations into threshold-based guidance for CPU/edge deployment under frame-rate and memory constraints. </w:t>
      </w:r>
      <w:r>
        <w:rPr>
          <w:rFonts w:hint="eastAsia" w:eastAsia="Times New Roman" w:ascii="Times New Roman" w:hAnsi="Times New Roman" w:cs="Times New Roman"/>
          <w:color w:val="000000"/>
          <w:sz w:val="20"/>
          <w:lang w:eastAsia="zh-CN"/>
        </w:rPr>
        <w:t>The resulting framework links fair comparison, stress testing, failure analysis, and reproducible experimental reporting for smart aquaculture applications.</w:t>
      </w:r>
    </w:p>
    <w:p w14:paraId="668E84C4">
      <w:pPr>
        <w:pStyle w:val="25"/>
        <w:keepLines w:val="0"/>
        <w:widowControl/>
        <w:spacing w:line="276" w:lineRule="auto" w:before="0" w:after="160"/>
        <w:jc w:val="left"/>
      </w:pPr>
      <w:r>
        <w:rPr>
          <w:rFonts w:ascii="Times New Roman" w:hAnsi="Times New Roman" w:eastAsia="Times New Roman" w:cs="Times New Roman"/>
          <w:color w:val="000000"/>
          <w:sz w:val="20"/>
        </w:rPr>
        <w:t>Keywords: digital aquaculture; multi-object tracking; fish counting; drift monitoring; reproducibility; runtime profiling; edge deployment.</w:t>
      </w:r>
    </w:p>
    <w:p w14:paraId="39C0AFB1">
      <w:pPr>
        <w:pStyle w:val="3"/>
        <w:keepLines w:val="0"/>
        <w:widowControl/>
        <w:spacing w:line="276" w:lineRule="auto" w:before="0" w:after="80"/>
        <w:jc w:val="both"/>
      </w:pPr>
    </w:p>
    <w:p w14:paraId="2F1FD182">
      <w:pPr>
        <w:pStyle w:val="2"/>
        <w:keepNext/>
        <w:keepLines w:val="0"/>
        <w:widowControl/>
        <w:jc w:val="left"/>
      </w:pPr>
      <w:bookmarkStart w:id="0" w:name="introduction"/>
      <w:r>
        <w:rPr>
          <w:rFonts w:ascii="Times New Roman" w:hAnsi="Times New Roman" w:eastAsia="Times New Roman" w:cs="Times New Roman"/>
          <w:b/>
          <w:color w:val="000000"/>
          <w:sz w:val="22"/>
        </w:rPr>
        <w:t>1. Introduction</w:t>
      </w:r>
    </w:p>
    <w:p w14:paraId="6262514A">
      <w:pPr>
        <w:pStyle w:val="25"/>
        <w:keepLines w:val="0"/>
        <w:widowControl/>
        <w:spacing w:line="276" w:lineRule="auto" w:before="0" w:after="80"/>
        <w:jc w:val="both"/>
        <w:rPr>
          <w:rFonts w:hint="eastAsia" w:eastAsia="宋体"/>
          <w:lang w:eastAsia="zh-CN"/>
        </w:rPr>
      </w:pPr>
      <w:r>
        <w:rPr>
          <w:rFonts w:ascii="Times New Roman" w:hAnsi="Times New Roman" w:eastAsia="Times New Roman" w:cs="Times New Roman"/>
          <w:color w:val="000000"/>
          <w:sz w:val="20"/>
        </w:rPr>
        <w:t xml:space="preserve">Digital aquaculture relies on reliable fish trajectories and counts for biomass estimation, feeding control, and welfare monitoring. In this context, a model that is slightly better on a single benchmark but hard to reproduce or deploy can be less useful than a model with transparent limits and well-characterized behavior. </w:t>
      </w:r>
      <w:r>
        <w:rPr>
          <w:rFonts w:hint="eastAsia" w:eastAsia="Times New Roman" w:ascii="Times New Roman" w:hAnsi="Times New Roman" w:cs="Times New Roman"/>
          <w:color w:val="000000"/>
          <w:sz w:val="20"/>
          <w:lang w:eastAsia="zh-CN"/>
        </w:rPr>
        <w:t>Therefore, this paper does not claim universal superiority of any single tracker.</w:t>
      </w:r>
      <w:r>
        <w:rPr>
          <w:rFonts w:ascii="Times New Roman" w:hAnsi="Times New Roman" w:eastAsia="Times New Roman" w:cs="Times New Roman"/>
          <w:color w:val="000000"/>
          <w:sz w:val="20"/>
        </w:rPr>
        <w:t xml:space="preserve"> </w:t>
      </w:r>
      <w:r>
        <w:rPr>
          <w:rFonts w:hint="eastAsia" w:eastAsia="Times New Roman" w:ascii="Times New Roman" w:hAnsi="Times New Roman" w:cs="Times New Roman"/>
          <w:color w:val="000000"/>
          <w:sz w:val="20"/>
          <w:lang w:eastAsia="zh-CN"/>
        </w:rPr>
        <w:t>Instead, we present an evaluation framework that integrates fair comparison, robustness diagnostics, and deployment-oriented analysis under compute constraints.</w:t>
      </w:r>
    </w:p>
    <w:p w14:paraId="7C7DDBA3">
      <w:pPr>
        <w:pStyle w:val="3"/>
        <w:keepLines w:val="0"/>
        <w:widowControl/>
        <w:spacing w:line="276" w:lineRule="auto" w:before="0" w:after="80"/>
        <w:jc w:val="both"/>
        <w:rPr>
          <w:rFonts w:hint="eastAsia" w:eastAsia="宋体"/>
          <w:lang w:eastAsia="zh-CN"/>
        </w:rPr>
      </w:pPr>
      <w:r>
        <w:rPr>
          <w:rFonts w:hint="eastAsia" w:eastAsia="Times New Roman" w:ascii="Times New Roman" w:hAnsi="Times New Roman" w:cs="Times New Roman"/>
          <w:color w:val="000000"/>
          <w:sz w:val="20"/>
          <w:lang w:eastAsia="zh-CN"/>
        </w:rPr>
        <w:t>Study scope and contribution</w:t>
      </w:r>
      <w:r>
        <w:rPr>
          <w:rFonts w:hint="eastAsia" w:eastAsia="Times New Roman" w:ascii="Times New Roman" w:hAnsi="Times New Roman" w:cs="Times New Roman"/>
          <w:color w:val="000000"/>
          <w:sz w:val="20"/>
          <w:lang w:val="en-US" w:eastAsia="zh-CN"/>
        </w:rPr>
        <w:t>:</w:t>
      </w:r>
      <w:r>
        <w:rPr>
          <w:rFonts w:hint="eastAsia" w:eastAsia="Times New Roman" w:ascii="Times New Roman" w:hAnsi="Times New Roman" w:cs="Times New Roman"/>
          <w:color w:val="000000"/>
          <w:sz w:val="20"/>
          <w:lang w:eastAsia="zh-CN"/>
        </w:rPr>
        <w:t>This manuscript contributes methodological advances for aquaculture vision evaluation, including a traceable benchmarking protocol, a drift-aware monitoring scheme, and a deployment-oriented analysis of accuracy–robustness–cost trade-offs.</w:t>
      </w:r>
      <w:r>
        <w:rPr>
          <w:rFonts w:ascii="Times New Roman" w:hAnsi="Times New Roman" w:eastAsia="Times New Roman" w:cs="Times New Roman"/>
          <w:color w:val="000000"/>
          <w:sz w:val="20"/>
        </w:rPr>
        <w:t xml:space="preserve"> </w:t>
      </w:r>
      <w:r>
        <w:rPr>
          <w:rFonts w:hint="eastAsia" w:eastAsia="Times New Roman" w:ascii="Times New Roman" w:hAnsi="Times New Roman" w:cs="Times New Roman"/>
          <w:color w:val="000000"/>
          <w:sz w:val="20"/>
          <w:lang w:eastAsia="zh-CN"/>
        </w:rPr>
        <w:t>The goal is to improve reliable evaluation and deployment assessment for agricultural vision systems, rather than to propose a first-time application of an off-the-shelf tracker.</w:t>
      </w:r>
    </w:p>
    <w:p w14:paraId="61835903">
      <w:pPr>
        <w:pStyle w:val="3"/>
        <w:keepLines w:val="0"/>
        <w:widowControl/>
        <w:spacing w:line="276" w:lineRule="auto" w:before="0" w:after="80"/>
        <w:jc w:val="both"/>
        <w:rPr>
          <w:rFonts w:hint="eastAsia" w:eastAsia="宋体"/>
          <w:lang w:eastAsia="zh-CN"/>
        </w:rPr>
      </w:pPr>
      <w:r>
        <w:rPr>
          <w:rFonts w:hint="eastAsia" w:eastAsia="Times New Roman" w:ascii="Times New Roman" w:hAnsi="Times New Roman" w:cs="Times New Roman"/>
          <w:color w:val="000000"/>
          <w:sz w:val="20"/>
          <w:lang w:eastAsia="zh-CN"/>
        </w:rPr>
        <w:t>The contributions of this work are summarized as follows.</w:t>
      </w:r>
    </w:p>
    <w:p w14:paraId="00F91763">
      <w:pPr>
        <w:keepLines w:val="0"/>
        <w:widowControl/>
        <w:numPr>
          <w:ilvl w:val="0"/>
          <w:numId w:val="1"/>
        </w:numPr>
        <w:spacing w:line="276" w:lineRule="auto" w:before="0" w:after="80"/>
        <w:jc w:val="both"/>
      </w:pPr>
      <w:r>
        <w:rPr>
          <w:rFonts w:hint="eastAsia" w:eastAsia="Times New Roman" w:ascii="Times New Roman" w:hAnsi="Times New Roman" w:cs="Times New Roman"/>
          <w:color w:val="000000"/>
          <w:sz w:val="20"/>
          <w:lang w:eastAsia="zh-CN"/>
        </w:rPr>
        <w:t>C1: A reproducible evaluation protocol for MOT and counting pipelines based on a locked experiment configuration, manifest hashing, and a release package. This component is intended to reduce inconsistencies in tables and figures caused by implicit path or setting changes.</w:t>
      </w:r>
    </w:p>
    <w:p w14:paraId="296C1280">
      <w:pPr>
        <w:keepLines w:val="0"/>
        <w:widowControl/>
        <w:numPr>
          <w:ilvl w:val="0"/>
          <w:numId w:val="1"/>
        </w:numPr>
        <w:spacing w:line="276" w:lineRule="auto" w:before="0" w:after="80"/>
        <w:jc w:val="both"/>
        <w:rPr>
          <w:rFonts w:hint="eastAsia" w:eastAsia="宋体"/>
          <w:b w:val="0"/>
          <w:i w:val="0"/>
          <w:sz w:val="20"/>
          <w:lang w:eastAsia="zh-CN"/>
        </w:rPr>
      </w:pPr>
      <w:r>
        <w:rPr>
          <w:rFonts w:hint="eastAsia" w:eastAsia="Times New Roman" w:ascii="Times New Roman" w:hAnsi="Times New Roman" w:cs="Times New Roman"/>
          <w:b w:val="0"/>
          <w:i w:val="0"/>
          <w:color w:val="000000"/>
          <w:sz w:val="20"/>
          <w:lang w:eastAsia="zh-CN"/>
        </w:rPr>
        <w:t>C2: Drift-aware diagnostics and a stress-testing protocol based on controlled degradation, stratified risk buckets, and drift-monitoring signals. This component is intended to reveal failure concentration under turning, low-confidence, and degraded detection conditions that may not be visible from global mean metrics alone.</w:t>
      </w:r>
    </w:p>
    <w:p w14:paraId="4282B2A4">
      <w:pPr>
        <w:keepLines w:val="0"/>
        <w:widowControl/>
        <w:numPr>
          <w:ilvl w:val="0"/>
          <w:numId w:val="1"/>
        </w:numPr>
        <w:spacing w:line="276" w:lineRule="auto" w:before="0" w:after="80"/>
        <w:jc w:val="both"/>
        <w:rPr>
          <w:rFonts w:hint="eastAsia" w:eastAsia="宋体"/>
          <w:b w:val="0"/>
          <w:i w:val="0"/>
          <w:sz w:val="20"/>
          <w:lang w:eastAsia="zh-CN"/>
        </w:rPr>
      </w:pPr>
      <w:r>
        <w:rPr>
          <w:rFonts w:hint="eastAsia" w:eastAsia="Times New Roman" w:ascii="Times New Roman" w:hAnsi="Times New Roman" w:cs="Times New Roman"/>
          <w:b w:val="0"/>
          <w:i w:val="0"/>
          <w:color w:val="000000"/>
          <w:sz w:val="20"/>
          <w:lang w:eastAsia="zh-CN"/>
        </w:rPr>
        <w:t>C3: A deployment-oriented comparison protocol based on joint tracking, counting, and resource evidence. In the current version, deployment interpretation is limited to Scope A measurements, and no end-to-end capacity claim is made without Scope B profiling.</w:t>
      </w:r>
    </w:p>
    <w:bookmarkEnd w:id="0"/>
    <w:p w14:paraId="6041EB9C">
      <w:pPr>
        <w:pStyle w:val="2"/>
        <w:keepNext/>
        <w:keepLines w:val="0"/>
        <w:widowControl/>
        <w:jc w:val="left"/>
      </w:pPr>
      <w:bookmarkStart w:id="1" w:name="related-work"/>
      <w:r>
        <w:rPr>
          <w:rFonts w:ascii="Times New Roman" w:hAnsi="Times New Roman" w:eastAsia="Times New Roman" w:cs="Times New Roman"/>
          <w:b/>
          <w:color w:val="000000"/>
          <w:sz w:val="22"/>
        </w:rPr>
        <w:t>2. Related wor</w:t>
      </w:r>
    </w:p>
    <w:p w14:paraId="633F8578">
      <w:pPr>
        <w:pStyle w:val="4"/>
        <w:keepNext/>
        <w:keepLines w:val="0"/>
        <w:widowControl/>
        <w:jc w:val="left"/>
      </w:pPr>
      <w:bookmarkStart w:id="2" w:name="Xa961542d70d8c957a1d841e637b851584986ed1"/>
      <w:r>
        <w:rPr>
          <w:rFonts w:ascii="Times New Roman" w:hAnsi="Times New Roman" w:eastAsia="Times New Roman" w:cs="Times New Roman"/>
          <w:color w:val="000000"/>
        </w:rPr>
        <w:t>Tracking baselines and association design</w:t>
      </w:r>
    </w:p>
    <w:p w14:paraId="5D4C60AD">
      <w:pPr>
        <w:pStyle w:val="25"/>
        <w:keepLines w:val="0"/>
        <w:widowControl/>
        <w:spacing w:line="276" w:lineRule="auto" w:before="0" w:after="80"/>
        <w:jc w:val="both"/>
      </w:pPr>
      <w:r>
        <w:rPr>
          <w:rFonts w:ascii="Times New Roman" w:hAnsi="Times New Roman" w:eastAsia="Times New Roman" w:cs="Times New Roman"/>
          <w:color w:val="000000"/>
          <w:sz w:val="20"/>
        </w:rPr>
        <w:t>Modern online MOT systems differ mainly in association design and handling of low-confidence detections. ByteTrack associates almost every detection and is a strong and efficient baseline (Zhang et al. 2022). OC-SORT emphasizes observation-centric updates under motion uncertainty (Cao et al. 2022). BoT-SORT integrates stronger association cues and camera-motion-aware design for improved robustness (Aharon et al. 2022). These methods form the strong-baseline set in our experiments.</w:t>
      </w:r>
    </w:p>
    <w:p w14:paraId="5DA0CC1B">
      <w:pPr>
        <w:pStyle w:val="3"/>
        <w:keepLines w:val="0"/>
        <w:widowControl/>
        <w:spacing w:line="276" w:lineRule="auto" w:before="0" w:after="80"/>
        <w:jc w:val="both"/>
      </w:pPr>
      <w:r>
        <w:rPr>
          <w:rFonts w:ascii="Times New Roman" w:hAnsi="Times New Roman" w:eastAsia="Times New Roman" w:cs="Times New Roman"/>
          <w:color w:val="000000"/>
          <w:sz w:val="20"/>
        </w:rPr>
        <w:t>Beyond these recent trackers, the broader MOT lineage (e.g., SORT/DeepSORT style association pipelines (Bewley et al. 2016; Wojke et al. 2017)) motivates two engineering concerns in practice: metric sensitivity to detection quality and speed-memory trade-offs under deployment constraints. Our framework addresses these concerns at protocol level rather than by proposing a new universal tracker.</w:t>
      </w:r>
    </w:p>
    <w:bookmarkEnd w:id="2"/>
    <w:p w14:paraId="6F1C2F47">
      <w:pPr>
        <w:pStyle w:val="4"/>
        <w:keepNext/>
        <w:keepLines w:val="0"/>
        <w:widowControl/>
        <w:jc w:val="left"/>
      </w:pPr>
      <w:bookmarkStart w:id="3" w:name="X8e6722eab8957cf368424bbf25b2110c75aa295"/>
      <w:r>
        <w:rPr>
          <w:rFonts w:ascii="Times New Roman" w:hAnsi="Times New Roman" w:eastAsia="Times New Roman" w:cs="Times New Roman"/>
          <w:color w:val="000000"/>
        </w:rPr>
        <w:t>Evaluation metrics and reproducible benchmarking</w:t>
      </w:r>
    </w:p>
    <w:p w14:paraId="6A793A53">
      <w:pPr>
        <w:pStyle w:val="25"/>
        <w:keepLines w:val="0"/>
        <w:widowControl/>
        <w:spacing w:line="276" w:lineRule="auto" w:before="0" w:after="80"/>
        <w:jc w:val="both"/>
      </w:pPr>
      <w:r>
        <w:rPr>
          <w:rFonts w:ascii="Times New Roman" w:hAnsi="Times New Roman" w:eastAsia="Times New Roman" w:cs="Times New Roman"/>
          <w:color w:val="000000"/>
          <w:sz w:val="20"/>
        </w:rPr>
        <w:t>HOTA explicitly balances detection and association quality and is now a standard MOT metric (Luiten et al. 2021). TrackEval provides a unified implementation for metric computation and cross-method comparability (Luiten et al. 2020). We adopt this metric/evaluator stack and extend it with multi-seed aggregation, per-sequence reporting, stratified bucket analysis, and explicit reproducibility metadata.</w:t>
      </w:r>
    </w:p>
    <w:bookmarkEnd w:id="3"/>
    <w:p w14:paraId="7B8E7B01">
      <w:pPr>
        <w:pStyle w:val="4"/>
        <w:keepNext/>
        <w:keepLines w:val="0"/>
        <w:widowControl/>
        <w:jc w:val="left"/>
      </w:pPr>
      <w:bookmarkStart w:id="4" w:name="X7e9b35f099fab646a0090773699313dfaa27972"/>
      <w:r>
        <w:rPr>
          <w:rFonts w:ascii="Times New Roman" w:hAnsi="Times New Roman" w:eastAsia="Times New Roman" w:cs="Times New Roman"/>
          <w:color w:val="000000"/>
        </w:rPr>
        <w:t>Aquaculture vision, fish tracking, and counting</w:t>
      </w:r>
    </w:p>
    <w:p w14:paraId="2C0936F2">
      <w:pPr>
        <w:pStyle w:val="25"/>
        <w:keepLines w:val="0"/>
        <w:widowControl/>
        <w:spacing w:line="276" w:lineRule="auto" w:before="0" w:after="80"/>
        <w:jc w:val="both"/>
      </w:pPr>
      <w:r>
        <w:rPr>
          <w:rFonts w:ascii="Times New Roman" w:hAnsi="Times New Roman" w:eastAsia="Times New Roman" w:cs="Times New Roman"/>
          <w:color w:val="000000"/>
          <w:sz w:val="20"/>
        </w:rPr>
        <w:t>Aquaculture vision has evolved from foundational computer-vision task reviews toward full digital-aquaculture stacks that integrate monitoring, management, and decision support (Zion 2012; Føre et al. 2018; Zhou et al. 2018; Li et al. 2020; Barbedo 2022; Cui et al. 2025). Along this trajectory, counting-oriented works have emphasized practical instrumentation and affordability, from embedded counters to vision-based hatchery/fingerling workflows and modern deep counting models (Hernandez-Ontiveros et al. 2018; Franca Albuquerque et al. 2019; Zhang et al. 2020). In parallel, tracking and behavior studies have shifted toward deep models for abnormal-event detection and monitoring robustness in dense farming scenes (Mei et al. 2022; Wang et al. 2022; Zhao et al. 2025).</w:t>
      </w:r>
    </w:p>
    <w:p w14:paraId="4B69CCA9">
      <w:pPr>
        <w:pStyle w:val="3"/>
        <w:keepLines w:val="0"/>
        <w:widowControl/>
        <w:spacing w:line="276" w:lineRule="auto" w:before="0" w:after="80"/>
        <w:jc w:val="both"/>
      </w:pPr>
      <w:r>
        <w:rPr>
          <w:rFonts w:ascii="Times New Roman" w:hAnsi="Times New Roman" w:eastAsia="Times New Roman" w:cs="Times New Roman"/>
          <w:color w:val="000000"/>
          <w:sz w:val="20"/>
        </w:rPr>
        <w:t>However, most studies still report isolated task metrics (only counting, only tracking, or only behavior) and rarely connect these outcomes to reproducibility controls, stress-test protocols, and deployment constraints in one auditable pipeline.</w:t>
      </w:r>
      <w:r>
        <w:rPr>
          <w:rFonts w:ascii="Times New Roman" w:hAnsi="Times New Roman" w:eastAsia="Times New Roman" w:cs="Times New Roman"/>
          <w:b w:val="0"/>
          <w:i w:val="0"/>
          <w:color w:val="000000"/>
          <w:sz w:val="20"/>
        </w:rPr>
        <w:t xml:space="preserve"> Our contribution lies in a drift-aware, stress-tested, and deployment-oriented evaluation framework for aquaculture MOT, rather than in proposing a new tracking architecture.</w:t>
      </w:r>
    </w:p>
    <w:bookmarkEnd w:id="1"/>
    <w:bookmarkEnd w:id="4"/>
    <w:p w14:paraId="66588CFC">
      <w:pPr>
        <w:pStyle w:val="2"/>
        <w:keepNext/>
        <w:keepLines w:val="0"/>
        <w:widowControl/>
        <w:jc w:val="left"/>
      </w:pPr>
      <w:bookmarkStart w:id="5" w:name="Xbb80299f72ceebbeafcf8bca5327d81bb3322fd"/>
      <w:r>
        <w:rPr>
          <w:rFonts w:ascii="Times New Roman" w:hAnsi="Times New Roman" w:eastAsia="Times New Roman" w:cs="Times New Roman"/>
          <w:b/>
          <w:color w:val="000000"/>
          <w:sz w:val="22"/>
        </w:rPr>
        <w:t>3. Materials and methods</w:t>
      </w:r>
    </w:p>
    <w:p w14:paraId="64A042B5">
      <w:pPr>
        <w:pStyle w:val="4"/>
        <w:keepNext/>
        <w:keepLines w:val="0"/>
        <w:widowControl/>
        <w:jc w:val="left"/>
      </w:pPr>
      <w:bookmarkStart w:id="6" w:name="terminology-and-scope"/>
      <w:r>
        <w:rPr>
          <w:rFonts w:ascii="Times New Roman" w:hAnsi="Times New Roman" w:eastAsia="Times New Roman" w:cs="Times New Roman"/>
          <w:b/>
          <w:color w:val="000000"/>
          <w:sz w:val="20"/>
        </w:rPr>
        <w:t>3.1 Terminology and scope</w:t>
      </w:r>
    </w:p>
    <w:p w14:paraId="41DAF273">
      <w:pPr>
        <w:pStyle w:val="25"/>
        <w:keepLines w:val="0"/>
        <w:widowControl/>
        <w:spacing w:line="276" w:lineRule="auto" w:before="0" w:after="80"/>
        <w:jc w:val="both"/>
      </w:pPr>
      <w:r>
        <w:rPr>
          <w:rFonts w:ascii="Times New Roman" w:hAnsi="Times New Roman" w:eastAsia="Times New Roman" w:cs="Times New Roman"/>
          <w:color w:val="000000"/>
          <w:sz w:val="20"/>
        </w:rPr>
        <w:t>Input drift denotes a distribution change between a reference window and an online window for input-side signals (e.g., detection confidence, box geometry, image quality proxies). Output drift denotes a change in output-side quality indicators (e.g., tracking metrics, counting errors, ID consistency proxies) under a fixed evaluation protocol. This work addresses drift-aware monitoring and response, not formal drift elimination guarantees.</w:t>
      </w:r>
    </w:p>
    <w:bookmarkEnd w:id="6"/>
    <w:p w14:paraId="3FAF2F4A">
      <w:pPr>
        <w:pStyle w:val="4"/>
        <w:keepNext/>
        <w:keepLines w:val="0"/>
        <w:widowControl/>
        <w:jc w:val="left"/>
      </w:pPr>
      <w:bookmarkStart w:id="7" w:name="audit-ready-reproducibility-core"/>
      <w:r>
        <w:rPr>
          <w:rFonts w:ascii="Times New Roman" w:hAnsi="Times New Roman" w:eastAsia="Times New Roman" w:cs="Times New Roman"/>
          <w:b/>
          <w:color w:val="000000"/>
          <w:sz w:val="20"/>
        </w:rPr>
        <w:t>3.2 Audit-ready reproducibility core</w:t>
      </w:r>
    </w:p>
    <w:p w14:paraId="13397964">
      <w:pPr>
        <w:pStyle w:val="25"/>
        <w:keepLines w:val="0"/>
        <w:widowControl/>
        <w:spacing w:line="276" w:lineRule="auto" w:before="0" w:after="80"/>
        <w:jc w:val="both"/>
      </w:pPr>
      <w:r>
        <w:rPr>
          <w:rFonts w:ascii="Times New Roman" w:hAnsi="Times New Roman" w:eastAsia="Times New Roman" w:cs="Times New Roman"/>
          <w:color w:val="000000"/>
          <w:sz w:val="20"/>
        </w:rPr>
        <w:t>The framework starts from a single run configuration (run_config.json) that locks split, frame budget, seeds, degradation parameters, gating threshold, and data root. Drift risk is monitored by explicit MOT-root policy checks and data-ingestion gates, rather than assumed to be impossible. Outputs are routed into fixed subdirectories (tables, runtime, stratified, paper assets, release), while manifest hashing records provenance of both inputs and outputs.</w:t>
      </w:r>
    </w:p>
    <w:bookmarkEnd w:id="7"/>
    <w:p w14:paraId="39091133">
      <w:pPr>
        <w:pStyle w:val="4"/>
        <w:keepNext/>
        <w:keepLines w:val="0"/>
        <w:widowControl/>
        <w:jc w:val="left"/>
      </w:pPr>
      <w:bookmarkStart w:id="8" w:name="X93d42804b69cef269c16fda03d09f06bf64c23f"/>
      <w:r>
        <w:rPr>
          <w:rFonts w:ascii="Times New Roman" w:hAnsi="Times New Roman" w:eastAsia="Times New Roman" w:cs="Times New Roman"/>
          <w:b/>
          <w:color w:val="000000"/>
          <w:sz w:val="20"/>
        </w:rPr>
        <w:t>3.2.1 Drift definition and closed-loop handling</w:t>
      </w:r>
    </w:p>
    <w:p w14:paraId="1506C8B1">
      <w:pPr>
        <w:pStyle w:val="25"/>
        <w:keepLines w:val="0"/>
        <w:widowControl/>
        <w:spacing w:line="276" w:lineRule="auto" w:before="0" w:after="80"/>
        <w:jc w:val="both"/>
      </w:pPr>
      <w:r>
        <w:rPr>
          <w:rFonts w:ascii="Times New Roman" w:hAnsi="Times New Roman" w:eastAsia="Times New Roman" w:cs="Times New Roman"/>
          <w:color w:val="000000"/>
          <w:sz w:val="20"/>
        </w:rPr>
        <w:t>Let X_t^(W) = {x_{t-W+1}, ..., x_t} be the recent input window of size W and X_ref be a reference window (calibration period). Let q(·) denote output-quality statistics computed on a window. In this manuscript, W denotes the fixed monitoring window length configured before evaluation, and K denotes the persistence window count required to trigger an alert. The reference window X_ref is constructed from a calibration interval of the same stream under nominal operating conditions and then frozen for online monitoring</w:t>
      </w:r>
      <w:r>
        <w:rPr>
          <w:rFonts w:ascii="Times New Roman" w:hAnsi="Times New Roman" w:eastAsia="Times New Roman" w:cs="Times New Roman"/>
          <w:b w:val="0"/>
          <w:i w:val="0"/>
          <w:color w:val="000000"/>
          <w:sz w:val="20"/>
        </w:rPr>
        <w:t>. The exact calibration interval length and refresh policy are fixed in the released configuration and should be reported in the final archival version.</w:t>
      </w:r>
    </w:p>
    <w:p w14:paraId="2A072F2E">
      <w:pPr>
        <w:pStyle w:val="6"/>
        <w:keepNext/>
        <w:keepLines w:val="0"/>
        <w:widowControl/>
        <w:jc w:val="left"/>
      </w:pPr>
      <w:bookmarkStart w:id="9" w:name="input-layer-indicator."/>
      <w:r>
        <w:rPr>
          <w:rFonts w:ascii="Times New Roman" w:hAnsi="Times New Roman" w:eastAsia="Times New Roman" w:cs="Times New Roman"/>
          <w:color w:val="000000"/>
        </w:rPr>
        <w:t>Input-layer indicator.</w:t>
      </w:r>
    </w:p>
    <w:p w14:paraId="171B47F2">
      <w:pPr>
        <w:pStyle w:val="25"/>
        <w:keepLines w:val="0"/>
        <w:widowControl/>
        <w:spacing w:line="276" w:lineRule="auto" w:before="0" w:after="80"/>
        <w:jc w:val="both"/>
      </w:pPr>
      <w:r>
        <w:rPr>
          <w:rFonts w:ascii="Times New Roman" w:hAnsi="Times New Roman" w:eastAsia="Times New Roman" w:cs="Times New Roman"/>
          <w:color w:val="000000"/>
          <w:sz w:val="20"/>
        </w:rPr>
        <w:t>For a scalar feature z (e.g., detection confidence or gating score), we monitor the empirical CDF distance:</w:t>
      </w:r>
    </w:p>
    <w:p w14:paraId="7726FAD8">
      <w:pPr>
        <w:pStyle w:val="25"/>
        <w:keepLines w:val="0"/>
        <w:widowControl/>
        <w:spacing w:before="0" w:after="80" w:line="276" w:lineRule="auto"/>
        <w:ind w:firstLine="0"/>
        <w:jc w:val="both"/>
      </w:pPr>
      <m:oMathPara>
        <m:oMathParaPr>
          <m:jc m:val="center"/>
        </m:oMathParaPr>
        <m:oMath>
          <m:sSub>
            <m:sSubPr/>
            <m:e>
              <m:r>
                <m:rPr/>
                <m:t>D</m:t>
              </m:r>
            </m:e>
            <m:sub>
              <m:r>
                <m:rPr>
                  <m:sty m:val="p"/>
                </m:rPr>
                <m:t>in</m:t>
              </m:r>
            </m:sub>
          </m:sSub>
          <m:d>
            <m:dPr>
              <m:sepChr m:val=""/>
            </m:dPr>
            <m:e>
              <m:r>
                <m:rPr/>
                <m:t>t</m:t>
              </m:r>
            </m:e>
          </m:d>
          <m:r>
            <m:rPr>
              <m:sty m:val="p"/>
            </m:rPr>
            <m:t>=</m:t>
          </m:r>
          <m:limLow>
            <m:limLowPr/>
            <m:e>
              <m:r>
                <m:rPr>
                  <m:sty m:val="p"/>
                </m:rPr>
                <m:t>max</m:t>
              </m:r>
            </m:e>
            <m:lim>
              <m:r>
                <m:rPr/>
                <m:t>u</m:t>
              </m:r>
            </m:lim>
          </m:limLow>
          <m:d>
            <m:dPr>
              <m:begChr m:val="|"/>
              <m:sepChr m:val=""/>
              <m:endChr m:val="|"/>
            </m:dPr>
            <m:e>
              <m:sSubSup>
                <m:sSubSupPr/>
                <m:e>
                  <m:r>
                    <m:rPr/>
                    <m:t>F</m:t>
                  </m:r>
                </m:e>
                <m:sub>
                  <m:r>
                    <m:rPr/>
                    <m:t>z</m:t>
                  </m:r>
                  <m:r>
                    <m:rPr>
                      <m:sty m:val="p"/>
                    </m:rPr>
                    <m:t>,</m:t>
                  </m:r>
                  <m:r>
                    <m:rPr/>
                    <m:t>t</m:t>
                  </m:r>
                </m:sub>
                <m:sup>
                  <m:d>
                    <m:dPr>
                      <m:sepChr m:val=""/>
                    </m:dPr>
                    <m:e>
                      <m:r>
                        <m:rPr/>
                        <m:t>W</m:t>
                      </m:r>
                    </m:e>
                  </m:d>
                </m:sup>
              </m:sSubSup>
              <m:d>
                <m:dPr>
                  <m:sepChr m:val=""/>
                </m:dPr>
                <m:e>
                  <m:r>
                    <m:rPr/>
                    <m:t>u</m:t>
                  </m:r>
                </m:e>
              </m:d>
              <m:r>
                <m:rPr>
                  <m:sty m:val="p"/>
                </m:rPr>
                <m:t>−</m:t>
              </m:r>
              <m:sSub>
                <m:sSubPr/>
                <m:e>
                  <m:r>
                    <m:rPr/>
                    <m:t>F</m:t>
                  </m:r>
                </m:e>
                <m:sub>
                  <m:r>
                    <m:rPr/>
                    <m:t>z</m:t>
                  </m:r>
                  <m:r>
                    <m:rPr>
                      <m:sty m:val="p"/>
                    </m:rPr>
                    <m:t>,ref</m:t>
                  </m:r>
                </m:sub>
              </m:sSub>
              <m:d>
                <m:dPr>
                  <m:sepChr m:val=""/>
                </m:dPr>
                <m:e>
                  <m:r>
                    <m:rPr/>
                    <m:t>u</m:t>
                  </m:r>
                </m:e>
              </m:d>
            </m:e>
          </m:d>
        </m:oMath>
      </m:oMathPara>
    </w:p>
    <w:bookmarkEnd w:id="9"/>
    <w:p w14:paraId="71879C44">
      <w:pPr>
        <w:pStyle w:val="6"/>
        <w:keepNext/>
        <w:keepLines w:val="0"/>
        <w:widowControl/>
        <w:jc w:val="left"/>
      </w:pPr>
      <w:bookmarkStart w:id="10" w:name="output-layer-indicator."/>
      <w:r>
        <w:rPr>
          <w:rFonts w:ascii="Times New Roman" w:hAnsi="Times New Roman" w:eastAsia="Times New Roman" w:cs="Times New Roman"/>
          <w:color w:val="000000"/>
        </w:rPr>
        <w:t>Output-layer indicator.</w:t>
      </w:r>
    </w:p>
    <w:p w14:paraId="2876C1D6">
      <w:pPr>
        <w:pStyle w:val="25"/>
        <w:keepLines w:val="0"/>
        <w:widowControl/>
        <w:spacing w:line="276" w:lineRule="auto" w:before="0" w:after="80"/>
        <w:jc w:val="both"/>
      </w:pPr>
      <w:r>
        <w:rPr>
          <w:rFonts w:ascii="Times New Roman" w:hAnsi="Times New Roman" w:eastAsia="Times New Roman" w:cs="Times New Roman"/>
          <w:color w:val="000000"/>
          <w:sz w:val="20"/>
        </w:rPr>
        <w:t>For output metric vector q_t = [IDSW_t, CountMAE_t, F1_t]^T, we monitor normalized deviation:</w:t>
      </w:r>
    </w:p>
    <w:p w14:paraId="0AA0F258">
      <w:pPr>
        <w:pStyle w:val="25"/>
        <w:keepLines w:val="0"/>
        <w:widowControl/>
        <w:spacing w:before="0" w:after="80" w:line="276" w:lineRule="auto"/>
        <w:ind w:firstLine="0"/>
        <w:jc w:val="both"/>
      </w:pPr>
      <m:oMathPara>
        <m:oMathParaPr>
          <m:jc m:val="center"/>
        </m:oMathParaPr>
        <m:oMath>
          <m:sSub>
            <m:sSubPr/>
            <m:e>
              <m:r>
                <m:rPr/>
                <m:t>D</m:t>
              </m:r>
            </m:e>
            <m:sub>
              <m:r>
                <m:rPr>
                  <m:sty m:val="p"/>
                </m:rPr>
                <m:t>out</m:t>
              </m:r>
            </m:sub>
          </m:sSub>
          <m:d>
            <m:dPr>
              <m:sepChr m:val=""/>
            </m:dPr>
            <m:e>
              <m:r>
                <m:rPr/>
                <m:t>t</m:t>
              </m:r>
            </m:e>
          </m:d>
          <m:r>
            <m:rPr>
              <m:sty m:val="p"/>
            </m:rPr>
            <m:t>=</m:t>
          </m:r>
          <m:sSub>
            <m:sSubPr/>
            <m:e>
              <m:d>
                <m:dPr>
                  <m:begChr m:val="∥"/>
                  <m:sepChr m:val=""/>
                  <m:endChr m:val="∥"/>
                </m:dPr>
                <m:e>
                  <m:f>
                    <m:fPr/>
                    <m:num>
                      <m:sSub>
                        <m:sSubPr/>
                        <m:e>
                          <m:r>
                            <m:rPr/>
                            <m:t>q</m:t>
                          </m:r>
                        </m:e>
                        <m:sub>
                          <m:r>
                            <m:rPr/>
                            <m:t>t</m:t>
                          </m:r>
                        </m:sub>
                      </m:sSub>
                      <m:r>
                        <m:rPr>
                          <m:sty m:val="p"/>
                        </m:rPr>
                        <m:t>−</m:t>
                      </m:r>
                      <m:sSub>
                        <m:sSubPr/>
                        <m:e>
                          <m:r>
                            <m:rPr/>
                            <m:t>μ</m:t>
                          </m:r>
                        </m:e>
                        <m:sub>
                          <m:r>
                            <m:rPr/>
                            <m:t>q</m:t>
                          </m:r>
                          <m:r>
                            <m:rPr>
                              <m:sty m:val="p"/>
                            </m:rPr>
                            <m:t>,ref</m:t>
                          </m:r>
                        </m:sub>
                      </m:sSub>
                    </m:num>
                    <m:den>
                      <m:sSub>
                        <m:sSubPr/>
                        <m:e>
                          <m:r>
                            <m:rPr/>
                            <m:t>σ</m:t>
                          </m:r>
                        </m:e>
                        <m:sub>
                          <m:r>
                            <m:rPr/>
                            <m:t>q</m:t>
                          </m:r>
                          <m:r>
                            <m:rPr>
                              <m:sty m:val="p"/>
                            </m:rPr>
                            <m:t>,ref</m:t>
                          </m:r>
                        </m:sub>
                      </m:sSub>
                      <m:r>
                        <m:rPr>
                          <m:sty m:val="p"/>
                        </m:rPr>
                        <m:t>+</m:t>
                      </m:r>
                      <m:r>
                        <m:rPr/>
                        <m:t>ϵ</m:t>
                      </m:r>
                    </m:den>
                  </m:f>
                </m:e>
              </m:d>
            </m:e>
            <m:sub>
              <m:r>
                <m:rPr/>
                <m:t>1</m:t>
              </m:r>
            </m:sub>
          </m:sSub>
        </m:oMath>
      </m:oMathPara>
    </w:p>
    <w:p w14:paraId="6EE9D69C">
      <w:pPr>
        <w:pStyle w:val="25"/>
        <w:keepLines w:val="0"/>
        <w:widowControl/>
        <w:spacing w:line="276" w:lineRule="auto" w:before="0" w:after="80"/>
        <w:jc w:val="both"/>
      </w:pPr>
      <w:r>
        <w:rPr>
          <w:rFonts w:ascii="Times New Roman" w:hAnsi="Times New Roman" w:eastAsia="Times New Roman" w:cs="Times New Roman"/>
          <w:color w:val="000000"/>
          <w:sz w:val="20"/>
        </w:rPr>
        <w:t>Here μ_{q,ref} and σ_{q,ref} are reference statistics; ε avoids division by zero.</w:t>
      </w:r>
    </w:p>
    <w:bookmarkEnd w:id="10"/>
    <w:p w14:paraId="6D9DB2E7">
      <w:pPr>
        <w:pStyle w:val="6"/>
        <w:keepNext/>
        <w:keepLines w:val="0"/>
        <w:widowControl/>
        <w:jc w:val="left"/>
      </w:pPr>
      <w:bookmarkStart w:id="11" w:name="trigger-and-calibration."/>
      <w:r>
        <w:rPr>
          <w:rFonts w:ascii="Times New Roman" w:hAnsi="Times New Roman" w:eastAsia="Times New Roman" w:cs="Times New Roman"/>
          <w:color w:val="000000"/>
        </w:rPr>
        <w:t>Trigger and calibration.</w:t>
      </w:r>
    </w:p>
    <w:p w14:paraId="62918C53">
      <w:pPr>
        <w:pStyle w:val="25"/>
        <w:keepLines w:val="0"/>
        <w:widowControl/>
        <w:spacing w:line="276" w:lineRule="auto" w:before="0" w:after="80"/>
        <w:jc w:val="both"/>
      </w:pPr>
      <w:r>
        <w:rPr>
          <w:rFonts w:ascii="Times New Roman" w:hAnsi="Times New Roman" w:eastAsia="Times New Roman" w:cs="Times New Roman"/>
          <w:color w:val="000000"/>
          <w:sz w:val="20"/>
        </w:rPr>
        <w:t>Drift alert is raised when D_in(t) &gt; τ_in or D_out(t) &gt; τ_out for K consecutive windows, where K ∈ N^+ is the persistence hyper-parameter (number of consecutive windows required before alerting). Thresholds (τ_in, τ_out) are calibrated from reference quantiles (e.g., 95th or 99th percentile) and then stress-tested for false-alarm and missed-detection trade-offs.</w:t>
      </w:r>
      <w:r>
        <w:rPr>
          <w:rFonts w:ascii="Times New Roman" w:hAnsi="Times New Roman" w:eastAsia="Times New Roman" w:cs="Times New Roman"/>
          <w:b w:val="0"/>
          <w:i w:val="0"/>
          <w:color w:val="000000"/>
          <w:sz w:val="20"/>
        </w:rPr>
        <w:t xml:space="preserve"> The reference-window length, refresh policy, and selected quantiles and K values should be documented in the final released configuration for full reproducibility.</w:t>
      </w:r>
    </w:p>
    <w:bookmarkEnd w:id="11"/>
    <w:p w14:paraId="57C481AA">
      <w:pPr>
        <w:pStyle w:val="6"/>
        <w:keepNext/>
        <w:keepLines w:val="0"/>
        <w:widowControl/>
        <w:jc w:val="left"/>
      </w:pPr>
      <w:bookmarkStart w:id="12" w:name="mitigation-policy."/>
      <w:r>
        <w:rPr>
          <w:rFonts w:ascii="Times New Roman" w:hAnsi="Times New Roman" w:eastAsia="Times New Roman" w:cs="Times New Roman"/>
          <w:color w:val="000000"/>
        </w:rPr>
        <w:t>Mitigation policy.</w:t>
      </w:r>
    </w:p>
    <w:p w14:paraId="37FF4E48">
      <w:pPr>
        <w:pStyle w:val="25"/>
        <w:keepLines w:val="0"/>
        <w:widowControl/>
        <w:spacing w:line="276" w:lineRule="auto" w:before="0" w:after="80"/>
        <w:jc w:val="both"/>
      </w:pPr>
      <w:r>
        <w:rPr>
          <w:rFonts w:ascii="Times New Roman" w:hAnsi="Times New Roman" w:eastAsia="Times New Roman" w:cs="Times New Roman"/>
          <w:color w:val="000000"/>
          <w:sz w:val="20"/>
        </w:rPr>
        <w:t>Upon alert, the system applies a conservative fallback sequence: enable/strengthen gating, adjust threshold using score quantiles, switch to a safer tracker profile, and log a re-calibration recommendation.</w:t>
      </w:r>
    </w:p>
    <w:p w14:paraId="4A3B7D7F">
      <w:pPr>
        <w:pStyle w:val="6"/>
        <w:keepNext/>
        <w:keepLines w:val="0"/>
        <w:widowControl/>
        <w:jc w:val="left"/>
      </w:pPr>
      <w:r>
        <w:rPr>
          <w:rFonts w:ascii="Times New Roman" w:hAnsi="Times New Roman" w:eastAsia="Times New Roman" w:cs="Times New Roman"/>
          <w:color w:val="000000"/>
        </w:rPr>
        <w:t>Algorithm 1. Drift-aware closed-loop monitoring and fallback</w:t>
      </w:r>
    </w:p>
    <w:p w14:paraId="5805550C">
      <w:pPr>
        <w:keepLines w:val="0"/>
        <w:widowControl/>
        <w:spacing w:line="276" w:lineRule="auto" w:before="0" w:after="80"/>
        <w:jc w:val="both"/>
      </w:pPr>
      <w:r>
        <w:rPr>
          <w:rFonts w:ascii="Times New Roman" w:hAnsi="Times New Roman" w:eastAsia="Times New Roman" w:cs="Times New Roman"/>
          <w:color w:val="000000"/>
          <w:sz w:val="20"/>
        </w:rPr>
        <w:t>Input: windows X_t^(W); output stats q_t; thresholds (tau_in, tau_out); persistence K; reference X_ref.</w:t>
      </w:r>
    </w:p>
    <w:p w14:paraId="08BB23CB">
      <w:pPr>
        <w:keepLines w:val="0"/>
        <w:widowControl/>
        <w:spacing w:line="276" w:lineRule="auto" w:before="0" w:after="80"/>
        <w:jc w:val="both"/>
      </w:pPr>
      <w:r>
        <w:rPr>
          <w:rFonts w:ascii="Times New Roman" w:hAnsi="Times New Roman" w:eastAsia="Times New Roman" w:cs="Times New Roman"/>
          <w:color w:val="000000"/>
          <w:sz w:val="20"/>
        </w:rPr>
        <w:t>State: alert counter c &lt;- 0; current profile p &lt;- default.</w:t>
      </w:r>
    </w:p>
    <w:p w14:paraId="0042F4AC">
      <w:pPr>
        <w:keepLines w:val="0"/>
        <w:widowControl/>
        <w:spacing w:line="276" w:lineRule="auto" w:before="0" w:after="80"/>
        <w:jc w:val="both"/>
      </w:pPr>
      <w:r>
        <w:rPr>
          <w:rFonts w:ascii="Times New Roman" w:hAnsi="Times New Roman" w:eastAsia="Times New Roman" w:cs="Times New Roman"/>
          <w:color w:val="000000"/>
          <w:sz w:val="20"/>
        </w:rPr>
        <w:t>For each window t: compute D_in(t) and D_out(t). If D_in(t) &gt; tau_in or D_out(t) &gt; tau_out then c &lt;- c+1 else c &lt;- 0.</w:t>
      </w:r>
    </w:p>
    <w:p w14:paraId="17BD0595">
      <w:pPr>
        <w:keepLines w:val="0"/>
        <w:widowControl/>
        <w:spacing w:line="276" w:lineRule="auto" w:before="0" w:after="80"/>
        <w:jc w:val="both"/>
      </w:pPr>
      <w:r>
        <w:rPr>
          <w:rFonts w:ascii="Times New Roman" w:hAnsi="Times New Roman" w:eastAsia="Times New Roman" w:cs="Times New Roman"/>
          <w:color w:val="000000"/>
          <w:sz w:val="20"/>
        </w:rPr>
        <w:t>If c &gt;= K: activate conservative mode (e.g., tighter gating / safer tracker profile); log context {timestamp, D_in(t), D_out(t), c, profile, decision}.</w:t>
      </w:r>
    </w:p>
    <w:bookmarkEnd w:id="12"/>
    <w:p w14:paraId="74CCC248">
      <w:pPr>
        <w:pStyle w:val="6"/>
        <w:keepNext/>
        <w:keepLines w:val="0"/>
        <w:widowControl/>
        <w:jc w:val="left"/>
        <w:rPr>
          <w:rFonts w:ascii="Times New Roman" w:hAnsi="Times New Roman" w:eastAsia="Times New Roman" w:cs="Times New Roman"/>
          <w:b w:val="0"/>
          <w:i w:val="0"/>
          <w:iCs w:val="0"/>
          <w:color w:val="000000"/>
          <w:sz w:val="20"/>
          <w:szCs w:val="24"/>
          <w:lang w:val="en-US" w:eastAsia="zh-CN" w:bidi="ar-SA"/>
        </w:rPr>
      </w:pPr>
      <w:bookmarkStart w:id="13" w:name="todo-experiments-minimal-closure."/>
      <w:r>
        <w:rPr>
          <w:rFonts w:ascii="Times New Roman" w:hAnsi="Times New Roman" w:eastAsia="Times New Roman" w:cs="Times New Roman"/>
          <w:b w:val="0"/>
          <w:i w:val="0"/>
          <w:iCs w:val="0"/>
          <w:color w:val="000000"/>
          <w:sz w:val="20"/>
          <w:szCs w:val="24"/>
          <w:lang w:val="en-US" w:eastAsia="zh-CN" w:bidi="ar-SA"/>
        </w:rPr>
        <w:t>The final fallback profile catalog and log schema should be documented in the released implementation, including field names and units.</w:t>
      </w:r>
    </w:p>
    <w:bookmarkEnd w:id="8"/>
    <w:bookmarkEnd w:id="13"/>
    <w:p w14:paraId="47CEABA1">
      <w:pPr>
        <w:pStyle w:val="4"/>
        <w:keepNext/>
        <w:keepLines w:val="0"/>
        <w:widowControl/>
        <w:jc w:val="left"/>
      </w:pPr>
      <w:bookmarkStart w:id="14" w:name="controlled-degradation-protocol"/>
      <w:r>
        <w:rPr>
          <w:rFonts w:ascii="Times New Roman" w:hAnsi="Times New Roman" w:eastAsia="Times New Roman" w:cs="Times New Roman"/>
          <w:b/>
          <w:color w:val="000000"/>
          <w:sz w:val="20"/>
        </w:rPr>
        <w:t>3.2.2 Controlled degradation protocol</w:t>
      </w:r>
    </w:p>
    <w:p w14:paraId="69C33158">
      <w:pPr>
        <w:pStyle w:val="25"/>
        <w:keepLines w:val="0"/>
        <w:widowControl/>
        <w:spacing w:line="276" w:lineRule="auto" w:before="0" w:after="80"/>
        <w:jc w:val="both"/>
      </w:pPr>
      <w:r>
        <w:rPr>
          <w:rFonts w:ascii="Times New Roman" w:hAnsi="Times New Roman" w:eastAsia="Times New Roman" w:cs="Times New Roman"/>
          <w:color w:val="000000"/>
          <w:sz w:val="20"/>
        </w:rPr>
        <w:t>We evaluate robustness under controlled detection degradation using drop rate and bounding-box jitter. This protocol quantifies how rapidly tracking identity and matching quality degrade as sensor/detector quality worsens, which is central for aquaculture edge deployments where lighting/turbidity conditions vary.</w:t>
      </w:r>
    </w:p>
    <w:bookmarkEnd w:id="14"/>
    <w:p w14:paraId="108E4187">
      <w:pPr>
        <w:pStyle w:val="4"/>
        <w:keepNext/>
        <w:keepLines w:val="0"/>
        <w:widowControl/>
        <w:jc w:val="left"/>
      </w:pPr>
      <w:bookmarkStart w:id="15" w:name="X29021fbebdb145094ca0e023cd207f26cae2567"/>
      <w:r>
        <w:rPr>
          <w:rFonts w:ascii="Times New Roman" w:hAnsi="Times New Roman" w:eastAsia="Times New Roman" w:cs="Times New Roman"/>
          <w:b/>
          <w:color w:val="000000"/>
          <w:sz w:val="20"/>
        </w:rPr>
        <w:t>3.2.3 Environment-aware stress tests (underwater/aquaculture)</w:t>
      </w:r>
    </w:p>
    <w:p w14:paraId="33913475">
      <w:pPr>
        <w:pStyle w:val="25"/>
        <w:keepLines w:val="0"/>
        <w:widowControl/>
        <w:spacing w:line="276" w:lineRule="auto" w:before="0" w:after="80"/>
        <w:jc w:val="both"/>
      </w:pPr>
      <w:r>
        <w:rPr>
          <w:rFonts w:ascii="Times New Roman" w:hAnsi="Times New Roman" w:eastAsia="Times New Roman" w:cs="Times New Roman"/>
          <w:color w:val="000000"/>
          <w:sz w:val="20"/>
        </w:rPr>
        <w:t>Beyond drop/jitter, we define parameterized degradations aligned with aquaculture conditions:</w:t>
      </w:r>
    </w:p>
    <w:p w14:paraId="138EE82D">
      <w:pPr>
        <w:keepLines w:val="0"/>
        <w:widowControl/>
        <w:numPr>
          <w:ilvl w:val="0"/>
          <w:numId w:val="3"/>
        </w:numPr>
        <w:spacing w:line="276" w:lineRule="auto" w:before="0" w:after="80"/>
        <w:jc w:val="both"/>
      </w:pPr>
      <w:r>
        <w:rPr>
          <w:rFonts w:ascii="Times New Roman" w:hAnsi="Times New Roman" w:eastAsia="Times New Roman" w:cs="Times New Roman"/>
          <w:color w:val="000000"/>
          <w:sz w:val="20"/>
        </w:rPr>
        <w:t>Motion blur: convolve each frame I with a linear motion kernel k_{ℓ,θ}, where ℓ is blur length (pixels) and θ is motion direction.</w:t>
      </w:r>
    </w:p>
    <w:p w14:paraId="1267557F">
      <w:pPr>
        <w:keepLines w:val="0"/>
        <w:widowControl/>
        <w:spacing w:before="0" w:after="80" w:line="276" w:lineRule="auto"/>
        <w:ind w:left="0" w:right="0" w:firstLine="0"/>
        <w:jc w:val="both"/>
      </w:pPr>
      <m:oMathPara>
        <m:oMath>
          <m:r>
            <m:rPr/>
            <m:t>I' = I ∗ k_{ℓ,θ}</m:t>
          </m:r>
        </m:oMath>
      </m:oMathPara>
    </w:p>
    <w:p w14:paraId="5D0079C0">
      <w:pPr>
        <w:keepLines w:val="0"/>
        <w:widowControl/>
        <w:numPr>
          <w:ilvl w:val="0"/>
          <w:numId w:val="3"/>
        </w:numPr>
        <w:spacing w:line="276" w:lineRule="auto" w:before="0" w:after="80"/>
        <w:jc w:val="both"/>
      </w:pPr>
      <w:r>
        <w:rPr>
          <w:rFonts w:ascii="Times New Roman" w:hAnsi="Times New Roman" w:eastAsia="Times New Roman" w:cs="Times New Roman"/>
          <w:color w:val="000000"/>
          <w:sz w:val="20"/>
        </w:rPr>
        <w:t>Low-light contrast shift: apply an affine intensity transform followed by clipping, where α ∈ (0,1) and β &lt; 0 simulate illumination loss.</w:t>
      </w:r>
    </w:p>
    <w:p w14:paraId="5C9ABE1B">
      <w:pPr>
        <w:keepLines w:val="0"/>
        <w:widowControl/>
        <w:spacing w:before="0" w:after="80" w:line="276" w:lineRule="auto"/>
        <w:ind w:left="0" w:right="0" w:firstLine="0"/>
        <w:jc w:val="both"/>
      </w:pPr>
      <m:oMathPara>
        <m:oMath>
          <m:r>
            <m:rPr/>
            <m:t>I' = clip(α·I + β)</m:t>
          </m:r>
        </m:oMath>
      </m:oMathPara>
    </w:p>
    <w:p w14:paraId="59E0FA5C">
      <w:pPr>
        <w:keepLines w:val="0"/>
        <w:widowControl/>
        <w:numPr>
          <w:ilvl w:val="0"/>
          <w:numId w:val="3"/>
        </w:numPr>
        <w:spacing w:line="276" w:lineRule="auto" w:before="0" w:after="80"/>
        <w:jc w:val="both"/>
      </w:pPr>
      <w:r>
        <w:rPr>
          <w:rFonts w:ascii="Times New Roman" w:hAnsi="Times New Roman" w:eastAsia="Times New Roman" w:cs="Times New Roman"/>
          <w:color w:val="000000"/>
          <w:sz w:val="20"/>
        </w:rPr>
        <w:t>Turbidity-like haze: apply a simple haze formation model with transmission t ∈ (0,1) and ambient light A.</w:t>
      </w:r>
    </w:p>
    <w:p w14:paraId="50AD8005">
      <w:pPr>
        <w:keepLines w:val="0"/>
        <w:widowControl/>
        <w:spacing w:before="0" w:after="80" w:line="276" w:lineRule="auto"/>
        <w:ind w:left="0" w:right="0" w:firstLine="0"/>
        <w:jc w:val="both"/>
      </w:pPr>
      <m:oMathPara>
        <m:oMath>
          <m:r>
            <m:rPr/>
            <m:t>I' = I·t + A·(1−t)</m:t>
          </m:r>
        </m:oMath>
      </m:oMathPara>
    </w:p>
    <w:p w14:paraId="2811D40D">
      <w:pPr>
        <w:pStyle w:val="25"/>
        <w:keepLines w:val="0"/>
        <w:widowControl/>
        <w:spacing w:line="276" w:lineRule="auto" w:before="0" w:after="80"/>
        <w:jc w:val="both"/>
      </w:pPr>
      <w:r>
        <w:rPr>
          <w:rFonts w:ascii="Times New Roman" w:hAnsi="Times New Roman" w:eastAsia="Times New Roman" w:cs="Times New Roman"/>
          <w:color w:val="000000"/>
          <w:sz w:val="20"/>
        </w:rPr>
        <w:t>Each degradation is tested at three strengths (low/mid/high) with fixed random seed and identical sequence subsets across methods.</w:t>
      </w:r>
    </w:p>
    <w:p w14:paraId="57B95EE3">
      <w:pPr>
        <w:pStyle w:val="46"/>
        <w:keepNext/>
        <w:keepLines w:val="0"/>
        <w:widowControl/>
        <w:jc w:val="left"/>
        <w:rPr>
          <w:rFonts w:ascii="Times New Roman" w:hAnsi="Times New Roman"/>
          <w:b w:val="0"/>
          <w:sz w:val="20"/>
        </w:rPr>
      </w:pPr>
      <w:bookmarkStart w:id="16" w:name="tab:stress_param_template"/>
      <w:r>
        <w:rPr>
          <w:rFonts w:ascii="Times New Roman" w:hAnsi="Times New Roman" w:eastAsia="Times New Roman" w:cs="Times New Roman"/>
          <w:b w:val="0"/>
          <w:color w:val="000000"/>
          <w:sz w:val="20"/>
        </w:rPr>
        <w:t>Environmental stress-test parameter settings</w:t>
      </w:r>
    </w:p>
    <w:tbl>
      <w:tblPr>
        <w:tblStyle w:val="43"/>
        <w:tblW w:w="0" w:type="auto"/>
        <w:tblCaption w:val="Environmental stress-test parameter settings (to be populated after run)."/>
        <w:jc w:val="center"/>
        <w:tblInd w:w="1233" w:type="dxa"/>
        <w:tblLayout w:type="autofit"/>
        <w:tblCellMar>
          <w:top w:w="0" w:type="dxa"/>
          <w:left w:w="108" w:type="dxa"/>
          <w:bottom w:w="0" w:type="dxa"/>
          <w:right w:w="108" w:type="dxa"/>
        </w:tblCellMar>
      </w:tblPr>
      <w:tblGrid>
        <w:gridCol w:w="1508"/>
        <w:gridCol w:w="1817"/>
        <w:gridCol w:w="2793"/>
      </w:tblGrid>
      <w:tr w14:paraId="72CE18B1">
        <w:tblPrEx>
          <w:tblCellMar>
            <w:top w:w="0" w:type="dxa"/>
            <w:left w:w="108" w:type="dxa"/>
            <w:bottom w:w="0" w:type="dxa"/>
            <w:right w:w="108" w:type="dxa"/>
          </w:tblCellMar>
        </w:tblPrEx>
        <w:trPr>
          <w:tblHeader/>
        </w:trPr>
        <w:tc>
          <w:tcPr>
            <w:tcW w:w="1508" w:type="dxa"/>
            <w:tcBorders>
              <w:top w:val="single" w:color="000000" w:sz="8" w:space="0"/>
              <w:left w:val="nil"/>
              <w:bottom w:val="single" w:color="000000" w:sz="6" w:space="0"/>
              <w:right w:val="nil"/>
            </w:tcBorders>
            <w:vAlign w:val="center"/>
          </w:tcPr>
          <w:p w14:paraId="5B4D976C">
            <w:pPr>
              <w:pStyle w:val="26"/>
              <w:spacing w:line="240" w:lineRule="auto" w:before="0" w:after="20"/>
              <w:jc w:val="left"/>
            </w:pPr>
            <w:r>
              <w:rPr>
                <w:rFonts w:ascii="Times New Roman" w:hAnsi="Times New Roman" w:eastAsia="Times New Roman" w:cs="Times New Roman"/>
                <w:b/>
                <w:color w:val="000000"/>
                <w:sz w:val="19"/>
              </w:rPr>
              <w:t>Degradation</w:t>
            </w:r>
          </w:p>
        </w:tc>
        <w:tc>
          <w:tcPr>
            <w:tcW w:w="1817" w:type="dxa"/>
            <w:tcBorders>
              <w:top w:val="single" w:color="000000" w:sz="8" w:space="0"/>
              <w:left w:val="nil"/>
              <w:bottom w:val="single" w:color="000000" w:sz="6" w:space="0"/>
              <w:right w:val="nil"/>
            </w:tcBorders>
            <w:vAlign w:val="center"/>
          </w:tcPr>
          <w:p w14:paraId="52F7B15C">
            <w:pPr>
              <w:pStyle w:val="26"/>
              <w:spacing w:line="240" w:lineRule="auto" w:before="0" w:after="20"/>
              <w:jc w:val="center"/>
            </w:pPr>
            <w:r>
              <w:rPr>
                <w:rFonts w:ascii="Times New Roman" w:hAnsi="Times New Roman" w:eastAsia="Times New Roman" w:cs="Times New Roman"/>
                <w:b/>
                <w:color w:val="000000"/>
                <w:sz w:val="19"/>
              </w:rPr>
              <w:t>Strength level</w:t>
            </w:r>
          </w:p>
        </w:tc>
        <w:tc>
          <w:tcPr>
            <w:tcW w:w="2793" w:type="dxa"/>
            <w:tcBorders>
              <w:top w:val="single" w:color="000000" w:sz="8" w:space="0"/>
              <w:left w:val="nil"/>
              <w:bottom w:val="single" w:color="000000" w:sz="6" w:space="0"/>
              <w:right w:val="nil"/>
            </w:tcBorders>
            <w:vAlign w:val="center"/>
          </w:tcPr>
          <w:p w14:paraId="392DCC47">
            <w:pPr>
              <w:pStyle w:val="26"/>
              <w:spacing w:line="240" w:lineRule="auto" w:before="0" w:after="20"/>
              <w:jc w:val="center"/>
            </w:pPr>
            <w:r>
              <w:rPr>
                <w:rFonts w:ascii="Times New Roman" w:hAnsi="Times New Roman" w:eastAsia="Times New Roman" w:cs="Times New Roman"/>
                <w:b/>
                <w:color w:val="000000"/>
                <w:sz w:val="19"/>
              </w:rPr>
              <w:t>Parameter setting</w:t>
            </w:r>
          </w:p>
        </w:tc>
      </w:tr>
      <w:tr w14:paraId="4DC70CC6">
        <w:tblPrEx>
          <w:tblCellMar>
            <w:top w:w="0" w:type="dxa"/>
            <w:left w:w="108" w:type="dxa"/>
            <w:bottom w:w="0" w:type="dxa"/>
            <w:right w:w="108" w:type="dxa"/>
          </w:tblCellMar>
        </w:tblPrEx>
        <w:tc>
          <w:tcPr>
            <w:tcW w:w="1508" w:type="dxa"/>
            <w:tcBorders>
              <w:top w:val="nil"/>
              <w:left w:val="nil"/>
              <w:bottom w:val="nil"/>
              <w:right w:val="nil"/>
            </w:tcBorders>
            <w:vAlign w:val="center"/>
          </w:tcPr>
          <w:p w14:paraId="67BE1FCB">
            <w:pPr>
              <w:pStyle w:val="26"/>
              <w:spacing w:line="240" w:lineRule="auto" w:before="0" w:after="20"/>
              <w:jc w:val="left"/>
            </w:pPr>
            <w:r>
              <w:rPr>
                <w:rFonts w:ascii="Times New Roman" w:hAnsi="Times New Roman" w:eastAsia="Times New Roman" w:cs="Times New Roman"/>
                <w:color w:val="000000"/>
                <w:sz w:val="19"/>
              </w:rPr>
              <w:t>Motion blur</w:t>
            </w:r>
          </w:p>
        </w:tc>
        <w:tc>
          <w:tcPr>
            <w:tcW w:w="1817" w:type="dxa"/>
            <w:tcBorders>
              <w:top w:val="nil"/>
              <w:left w:val="nil"/>
              <w:bottom w:val="nil"/>
              <w:right w:val="nil"/>
            </w:tcBorders>
            <w:vAlign w:val="center"/>
          </w:tcPr>
          <w:p w14:paraId="38D7B018">
            <w:pPr>
              <w:pStyle w:val="26"/>
              <w:spacing w:line="240" w:lineRule="auto" w:before="0" w:after="20"/>
              <w:jc w:val="center"/>
            </w:pPr>
            <w:r>
              <w:rPr>
                <w:rFonts w:ascii="Times New Roman" w:hAnsi="Times New Roman" w:eastAsia="Times New Roman" w:cs="Times New Roman"/>
                <w:color w:val="000000"/>
                <w:sz w:val="19"/>
              </w:rPr>
              <w:t>low/mid/high</w:t>
            </w:r>
          </w:p>
        </w:tc>
        <w:tc>
          <w:tcPr>
            <w:tcW w:w="2793" w:type="dxa"/>
            <w:tcBorders>
              <w:top w:val="nil"/>
              <w:left w:val="nil"/>
              <w:bottom w:val="nil"/>
              <w:right w:val="nil"/>
            </w:tcBorders>
            <w:vAlign w:val="center"/>
          </w:tcPr>
          <w:p w14:paraId="02AF79B5">
            <w:pPr>
              <w:pStyle w:val="26"/>
              <w:spacing w:line="240" w:lineRule="auto" w:before="0" w:after="20"/>
              <w:jc w:val="center"/>
            </w:pPr>
            <m:oMathPara>
              <m:oMath>
                <m:r>
                  <m:rPr>
                    <m:sty m:val="p"/>
                  </m:rPr>
                  <m:t>(</m:t>
                </m:r>
                <m:r>
                  <m:rPr/>
                  <m:t>ℓ</m:t>
                </m:r>
                <m:r>
                  <m:rPr>
                    <m:sty m:val="p"/>
                  </m:rPr>
                  <m:t>,</m:t>
                </m:r>
                <m:r>
                  <m:rPr/>
                  <m:t>θ</m:t>
                </m:r>
                <m:r>
                  <m:rPr>
                    <m:sty m:val="p"/>
                  </m:rPr>
                  <m:t>)</m:t>
                </m:r>
              </m:oMath>
            </m:oMathPara>
          </w:p>
        </w:tc>
      </w:tr>
      <w:tr w14:paraId="7D9FC860">
        <w:tblPrEx>
          <w:tblCellMar>
            <w:top w:w="0" w:type="dxa"/>
            <w:left w:w="108" w:type="dxa"/>
            <w:bottom w:w="0" w:type="dxa"/>
            <w:right w:w="108" w:type="dxa"/>
          </w:tblCellMar>
        </w:tblPrEx>
        <w:tc>
          <w:tcPr>
            <w:tcW w:w="1508" w:type="dxa"/>
            <w:tcBorders>
              <w:top w:val="nil"/>
              <w:left w:val="nil"/>
              <w:bottom w:val="nil"/>
              <w:right w:val="nil"/>
            </w:tcBorders>
            <w:vAlign w:val="center"/>
          </w:tcPr>
          <w:p w14:paraId="5E0EDC78">
            <w:pPr>
              <w:pStyle w:val="26"/>
              <w:spacing w:line="240" w:lineRule="auto" w:before="0" w:after="20"/>
              <w:jc w:val="left"/>
            </w:pPr>
            <w:r>
              <w:rPr>
                <w:rFonts w:ascii="Times New Roman" w:hAnsi="Times New Roman" w:eastAsia="Times New Roman" w:cs="Times New Roman"/>
                <w:color w:val="000000"/>
                <w:sz w:val="19"/>
              </w:rPr>
              <w:t>Low-light contrast shift</w:t>
            </w:r>
          </w:p>
        </w:tc>
        <w:tc>
          <w:tcPr>
            <w:tcW w:w="1817" w:type="dxa"/>
            <w:tcBorders>
              <w:top w:val="nil"/>
              <w:left w:val="nil"/>
              <w:bottom w:val="nil"/>
              <w:right w:val="nil"/>
            </w:tcBorders>
            <w:vAlign w:val="center"/>
          </w:tcPr>
          <w:p w14:paraId="3B3A3F58">
            <w:pPr>
              <w:pStyle w:val="26"/>
              <w:spacing w:line="240" w:lineRule="auto" w:before="0" w:after="20"/>
              <w:jc w:val="center"/>
            </w:pPr>
            <w:r>
              <w:rPr>
                <w:rFonts w:ascii="Times New Roman" w:hAnsi="Times New Roman" w:eastAsia="Times New Roman" w:cs="Times New Roman"/>
                <w:color w:val="000000"/>
                <w:sz w:val="19"/>
              </w:rPr>
              <w:t>low/mid/high</w:t>
            </w:r>
          </w:p>
        </w:tc>
        <w:tc>
          <w:tcPr>
            <w:tcW w:w="2793" w:type="dxa"/>
            <w:tcBorders>
              <w:top w:val="nil"/>
              <w:left w:val="nil"/>
              <w:bottom w:val="nil"/>
              <w:right w:val="nil"/>
            </w:tcBorders>
            <w:vAlign w:val="center"/>
          </w:tcPr>
          <w:p w14:paraId="18C5C405">
            <w:pPr>
              <w:pStyle w:val="26"/>
              <w:spacing w:line="240" w:lineRule="auto" w:before="0" w:after="20"/>
              <w:jc w:val="center"/>
            </w:pPr>
            <m:oMathPara>
              <m:oMath>
                <m:r>
                  <m:rPr>
                    <m:sty m:val="p"/>
                  </m:rPr>
                  <m:t>(</m:t>
                </m:r>
                <m:r>
                  <m:rPr/>
                  <m:t>α</m:t>
                </m:r>
                <m:r>
                  <m:rPr>
                    <m:sty m:val="p"/>
                  </m:rPr>
                  <m:t>,</m:t>
                </m:r>
                <m:r>
                  <m:rPr/>
                  <m:t>β</m:t>
                </m:r>
                <m:r>
                  <m:rPr>
                    <m:sty m:val="p"/>
                  </m:rPr>
                  <m:t>)</m:t>
                </m:r>
              </m:oMath>
            </m:oMathPara>
          </w:p>
        </w:tc>
      </w:tr>
      <w:tr w14:paraId="3ED7DF76">
        <w:tblPrEx>
          <w:tblCellMar>
            <w:top w:w="0" w:type="dxa"/>
            <w:left w:w="108" w:type="dxa"/>
            <w:bottom w:w="0" w:type="dxa"/>
            <w:right w:w="108" w:type="dxa"/>
          </w:tblCellMar>
        </w:tblPrEx>
        <w:tc>
          <w:tcPr>
            <w:tcW w:w="1508" w:type="dxa"/>
            <w:tcBorders>
              <w:top w:val="nil"/>
              <w:left w:val="nil"/>
              <w:bottom w:val="single" w:color="000000" w:sz="8" w:space="0"/>
              <w:right w:val="nil"/>
            </w:tcBorders>
            <w:vAlign w:val="center"/>
          </w:tcPr>
          <w:p w14:paraId="3EA04BEF">
            <w:pPr>
              <w:pStyle w:val="26"/>
              <w:spacing w:line="240" w:lineRule="auto" w:before="0" w:after="20"/>
              <w:jc w:val="left"/>
            </w:pPr>
            <w:r>
              <w:rPr>
                <w:rFonts w:ascii="Times New Roman" w:hAnsi="Times New Roman" w:eastAsia="Times New Roman" w:cs="Times New Roman"/>
                <w:color w:val="000000"/>
                <w:sz w:val="19"/>
              </w:rPr>
              <w:t>Turbidity-like haze</w:t>
            </w:r>
          </w:p>
        </w:tc>
        <w:tc>
          <w:tcPr>
            <w:tcW w:w="1817" w:type="dxa"/>
            <w:tcBorders>
              <w:top w:val="nil"/>
              <w:left w:val="nil"/>
              <w:bottom w:val="single" w:color="000000" w:sz="8" w:space="0"/>
              <w:right w:val="nil"/>
            </w:tcBorders>
            <w:vAlign w:val="center"/>
          </w:tcPr>
          <w:p w14:paraId="7DAF3110">
            <w:pPr>
              <w:pStyle w:val="26"/>
              <w:spacing w:line="240" w:lineRule="auto" w:before="0" w:after="20"/>
              <w:jc w:val="center"/>
            </w:pPr>
            <w:r>
              <w:rPr>
                <w:rFonts w:ascii="Times New Roman" w:hAnsi="Times New Roman" w:eastAsia="Times New Roman" w:cs="Times New Roman"/>
                <w:color w:val="000000"/>
                <w:sz w:val="19"/>
              </w:rPr>
              <w:t>low/mid/high</w:t>
            </w:r>
          </w:p>
        </w:tc>
        <w:tc>
          <w:tcPr>
            <w:tcW w:w="2793" w:type="dxa"/>
            <w:tcBorders>
              <w:top w:val="nil"/>
              <w:left w:val="nil"/>
              <w:bottom w:val="single" w:color="000000" w:sz="8" w:space="0"/>
              <w:right w:val="nil"/>
            </w:tcBorders>
            <w:vAlign w:val="center"/>
          </w:tcPr>
          <w:p w14:paraId="5879DC9C">
            <w:pPr>
              <w:pStyle w:val="26"/>
              <w:spacing w:line="240" w:lineRule="auto" w:before="0" w:after="20"/>
              <w:jc w:val="center"/>
            </w:pPr>
            <m:oMathPara>
              <m:oMath>
                <m:r>
                  <m:rPr>
                    <m:sty m:val="p"/>
                  </m:rPr>
                  <m:t>(</m:t>
                </m:r>
                <m:r>
                  <m:rPr/>
                  <m:t>t</m:t>
                </m:r>
                <m:r>
                  <m:rPr>
                    <m:sty m:val="p"/>
                  </m:rPr>
                  <m:t>,</m:t>
                </m:r>
                <m:r>
                  <m:rPr/>
                  <m:t>A</m:t>
                </m:r>
                <m:r>
                  <m:rPr>
                    <m:sty m:val="p"/>
                  </m:rPr>
                  <m:t>)</m:t>
                </m:r>
              </m:oMath>
            </m:oMathPara>
          </w:p>
        </w:tc>
      </w:tr>
      <w:bookmarkEnd w:id="16"/>
    </w:tbl>
    <w:bookmarkEnd w:id="15"/>
    <w:bookmarkEnd w:id="17"/>
    <w:p w14:paraId="597F2115">
      <w:pPr>
        <w:pStyle w:val="4"/>
        <w:keepNext/>
        <w:keepLines w:val="0"/>
        <w:widowControl/>
        <w:jc w:val="left"/>
      </w:pPr>
      <w:r>
        <w:rPr>
          <w:rFonts w:ascii="Times New Roman" w:hAnsi="Times New Roman" w:eastAsia="Times New Roman" w:cs="Times New Roman"/>
          <w:b/>
          <w:color w:val="000000"/>
          <w:sz w:val="20"/>
        </w:rPr>
        <w:t>3.2.4 Stratified difficulty diagnostics</w:t>
      </w:r>
    </w:p>
    <w:p w14:paraId="222F1A1C">
      <w:pPr>
        <w:pStyle w:val="25"/>
        <w:keepLines w:val="0"/>
        <w:widowControl/>
        <w:spacing w:line="276" w:lineRule="auto" w:before="0" w:after="80"/>
        <w:jc w:val="both"/>
      </w:pPr>
      <w:r>
        <w:rPr>
          <w:rFonts w:ascii="Times New Roman" w:hAnsi="Times New Roman" w:eastAsia="Times New Roman" w:cs="Times New Roman"/>
          <w:color w:val="000000"/>
          <w:sz w:val="20"/>
        </w:rPr>
        <w:t>To expose failure mechanisms beyond global means, we run quantile-based stratified evaluation over occlusion, density, turning, and low-confidence scores. Each bucket reports F1, IDSW, and counting errors, enabling direct identification of difficulty regimes that trigger association instability.</w:t>
      </w:r>
    </w:p>
    <w:bookmarkEnd w:id="18"/>
    <w:p w14:paraId="551235FC">
      <w:pPr>
        <w:pStyle w:val="4"/>
        <w:keepNext/>
        <w:keepLines w:val="0"/>
        <w:widowControl/>
        <w:jc w:val="left"/>
      </w:pPr>
      <w:bookmarkStart w:id="19" w:name="count-stability-and-runtime-profiling"/>
      <w:r>
        <w:rPr>
          <w:rFonts w:ascii="Times New Roman" w:hAnsi="Times New Roman" w:eastAsia="Times New Roman" w:cs="Times New Roman"/>
          <w:b/>
          <w:color w:val="000000"/>
          <w:sz w:val="20"/>
        </w:rPr>
        <w:t>3.2.5 Count stability and runtime profiling</w:t>
      </w:r>
    </w:p>
    <w:p w14:paraId="50BDAACF">
      <w:pPr>
        <w:pStyle w:val="25"/>
        <w:keepLines w:val="0"/>
        <w:widowControl/>
        <w:spacing w:line="276" w:lineRule="auto" w:before="0" w:after="80"/>
        <w:jc w:val="both"/>
      </w:pPr>
      <w:r>
        <w:rPr>
          <w:rFonts w:ascii="Times New Roman" w:hAnsi="Times New Roman" w:eastAsia="Times New Roman" w:cs="Times New Roman"/>
          <w:color w:val="000000"/>
          <w:sz w:val="20"/>
        </w:rPr>
        <w:t>We augment MOT metrics with count stability indicators (CountMAE/CountRMSE/CountVar/CountDrift) and runtime profiles under two scopes: A) tracking-only and B) end-to-end (decode + detect + track + output). This makes it possible to build threshold-based deployment rules rather than relying on one-score ranking.</w:t>
      </w:r>
    </w:p>
    <w:bookmarkEnd w:id="5"/>
    <w:bookmarkEnd w:id="19"/>
    <w:p w14:paraId="30A93CE1">
      <w:pPr>
        <w:pStyle w:val="2"/>
        <w:keepNext/>
        <w:keepLines w:val="0"/>
        <w:widowControl/>
        <w:jc w:val="left"/>
      </w:pPr>
      <w:bookmarkStart w:id="20" w:name="experimental-setup"/>
      <w:r>
        <w:rPr>
          <w:rFonts w:ascii="Times New Roman" w:hAnsi="Times New Roman" w:eastAsia="Times New Roman" w:cs="Times New Roman"/>
          <w:b/>
          <w:color w:val="000000"/>
          <w:sz w:val="22"/>
        </w:rPr>
        <w:t>3.3 Experimental setup</w:t>
      </w:r>
    </w:p>
    <w:p w14:paraId="14237A26">
      <w:pPr>
        <w:pStyle w:val="4"/>
        <w:keepNext/>
        <w:keepLines w:val="0"/>
        <w:widowControl/>
        <w:jc w:val="left"/>
      </w:pPr>
      <w:bookmarkStart w:id="21" w:name="frozen-configuration-and-data"/>
      <w:r>
        <w:rPr>
          <w:rFonts w:ascii="Times New Roman" w:hAnsi="Times New Roman" w:eastAsia="Times New Roman" w:cs="Times New Roman"/>
          <w:b/>
          <w:color w:val="000000"/>
          <w:sz w:val="20"/>
        </w:rPr>
        <w:t>3.3.1 Frozen configuration and data</w:t>
      </w:r>
    </w:p>
    <w:p w14:paraId="01B11331">
      <w:pPr>
        <w:pStyle w:val="25"/>
        <w:keepLines w:val="0"/>
        <w:widowControl/>
        <w:spacing w:line="276" w:lineRule="auto" w:before="0" w:after="80"/>
        <w:jc w:val="both"/>
      </w:pPr>
      <w:r>
        <w:rPr>
          <w:rFonts w:ascii="Times New Roman" w:hAnsi="Times New Roman" w:eastAsia="Times New Roman" w:cs="Times New Roman"/>
          <w:color w:val="000000"/>
          <w:sz w:val="20"/>
        </w:rPr>
        <w:t>Configuration is locked in the frozen release package: split=val-half, MOT root=data/mft25_mot_full, max frames=1000, seeds=[0, 1, 2], drop rate=0.2, jitter=0.02, and gating threshold=2000.0. The evaluated val-half bundle contains eight sequences and 8000 evaluated frames in total.</w:t>
      </w:r>
    </w:p>
    <w:bookmarkEnd w:id="21"/>
    <w:p w14:paraId="731C63F2">
      <w:pPr>
        <w:pStyle w:val="4"/>
        <w:keepNext/>
        <w:keepLines w:val="0"/>
        <w:widowControl/>
        <w:jc w:val="left"/>
      </w:pPr>
      <w:bookmarkStart w:id="22" w:name="methods-and-fairness-protocol"/>
      <w:r>
        <w:rPr>
          <w:rFonts w:ascii="Times New Roman" w:hAnsi="Times New Roman" w:eastAsia="Times New Roman" w:cs="Times New Roman"/>
          <w:b/>
          <w:color w:val="000000"/>
          <w:sz w:val="20"/>
        </w:rPr>
        <w:t>3.3.2 Methods and fairness protocol</w:t>
      </w:r>
    </w:p>
    <w:p w14:paraId="031121A6">
      <w:pPr>
        <w:pStyle w:val="25"/>
        <w:keepLines w:val="0"/>
        <w:widowControl/>
        <w:spacing w:line="276" w:lineRule="auto" w:before="0" w:after="80"/>
        <w:jc w:val="both"/>
      </w:pPr>
      <w:r>
        <w:rPr>
          <w:rFonts w:ascii="Times New Roman" w:hAnsi="Times New Roman" w:eastAsia="Times New Roman" w:cs="Times New Roman"/>
          <w:color w:val="000000"/>
          <w:sz w:val="20"/>
        </w:rPr>
        <w:t>We evaluate Base, +gating, +traj, +adaptive, and strong baselines ByteTrack/OC-SORT/BoT-SORT. Fairness rule: all trackers consume the same detection source and are evaluated with the same split/frame budget and TrackEval pipeline. Reporting uses multi-seed mean±std when available.</w:t>
      </w:r>
    </w:p>
    <w:bookmarkEnd w:id="22"/>
    <w:p w14:paraId="7AFECFDE">
      <w:pPr>
        <w:pStyle w:val="4"/>
        <w:keepNext/>
        <w:keepLines w:val="0"/>
        <w:widowControl/>
        <w:jc w:val="left"/>
      </w:pPr>
      <w:bookmarkStart w:id="23" w:name="runtime-measurement-protocol"/>
      <w:r>
        <w:rPr>
          <w:rFonts w:ascii="Times New Roman" w:hAnsi="Times New Roman" w:eastAsia="Times New Roman" w:cs="Times New Roman"/>
          <w:b/>
          <w:color w:val="000000"/>
          <w:sz w:val="20"/>
        </w:rPr>
        <w:t>3.3.3 Runtime measurement protocol</w:t>
      </w:r>
    </w:p>
    <w:p w14:paraId="6D4FA2AF">
      <w:pPr>
        <w:pStyle w:val="25"/>
        <w:keepLines w:val="0"/>
        <w:widowControl/>
        <w:spacing w:line="276" w:lineRule="auto" w:before="0" w:after="80"/>
        <w:jc w:val="both"/>
      </w:pPr>
      <w:r>
        <w:rPr>
          <w:rFonts w:ascii="Times New Roman" w:hAnsi="Times New Roman" w:eastAsia="Times New Roman" w:cs="Times New Roman"/>
          <w:color w:val="000000"/>
          <w:sz w:val="20"/>
        </w:rPr>
        <w:t>Scope A (tracking-only): measured on pre-loaded detections, including tracker state update, association, and output state generation, while excluding video decode, detector forward pass, and output serialization to disk. Scope B (end-to-end): includes decode + detection + tracking + output serialization under the same sequence list.</w:t>
      </w:r>
    </w:p>
    <w:p w14:paraId="389309E5">
      <w:pPr>
        <w:pStyle w:val="3"/>
        <w:keepLines w:val="0"/>
        <w:widowControl/>
        <w:spacing w:line="276" w:lineRule="auto" w:before="0" w:after="80"/>
        <w:jc w:val="both"/>
      </w:pPr>
      <w:r>
        <w:rPr>
          <w:rFonts w:ascii="Times New Roman" w:hAnsi="Times New Roman" w:eastAsia="Times New Roman" w:cs="Times New Roman"/>
          <w:color w:val="000000"/>
          <w:sz w:val="20"/>
        </w:rPr>
        <w:t>For each scope, the timing protocol is: (i) run N_warm warm-up iterations excluded from statistics, (ii) run N_rep timed repetitions with fixed thread settings and identical input order, and (iii) report central tendency and dispersion as mean±std across repetitions; when required, additionally report a confidence interval (CI) with the estimator and confidence level explicitly stated</w:t>
      </w:r>
      <w:r>
        <w:rPr>
          <w:rFonts w:ascii="Times New Roman" w:hAnsi="Times New Roman" w:eastAsia="Times New Roman" w:cs="Times New Roman"/>
          <w:b w:val="0"/>
          <w:i w:val="0"/>
          <w:color w:val="000000"/>
          <w:sz w:val="20"/>
        </w:rPr>
        <w:t>. The values of N_warm, N_rep, the CI type (if used), and the random-seed policy should be documented in the released runtime configuration.CPU reporting uses two fields: cpu_mean_1core_perce</w:t>
      </w:r>
      <w:r>
        <w:rPr>
          <w:rFonts w:ascii="Times New Roman" w:hAnsi="Times New Roman" w:eastAsia="Times New Roman" w:cs="Times New Roman"/>
          <w:color w:val="000000"/>
          <w:sz w:val="20"/>
        </w:rPr>
        <w:t>nt (as returned by the process monitor) and cpu_mean_norm_percent normalized by logical CPU count. Memory is reported as peak RSS in MB.</w:t>
      </w:r>
    </w:p>
    <w:p w14:paraId="4EFE8768">
      <w:pPr>
        <w:pStyle w:val="46"/>
        <w:keepNext/>
        <w:keepLines w:val="0"/>
        <w:widowControl/>
        <w:jc w:val="left"/>
        <w:rPr>
          <w:rFonts w:ascii="Times New Roman" w:hAnsi="Times New Roman"/>
          <w:b w:val="0"/>
          <w:sz w:val="20"/>
        </w:rPr>
      </w:pPr>
      <w:bookmarkStart w:id="24" w:name="tab:runtime_field_definition"/>
      <w:r>
        <w:rPr>
          <w:rFonts w:ascii="Times New Roman" w:hAnsi="Times New Roman" w:eastAsia="Times New Roman" w:cs="Times New Roman"/>
          <w:b w:val="0"/>
          <w:color w:val="000000"/>
          <w:sz w:val="20"/>
        </w:rPr>
        <w:t>Runtime CSV fields used in the profiling scripts.</w:t>
      </w:r>
    </w:p>
    <w:tbl>
      <w:tblPr>
        <w:tblStyle w:val="43"/>
        <w:tblW w:w="0" w:type="auto"/>
        <w:tblCaption w:val="Runtime CSV field definition (for reproducible profiling scripts)."/>
        <w:jc w:val="center"/>
        <w:tblInd w:w="0" w:type="dxa"/>
        <w:tblLayout w:type="autofit"/>
        <w:tblCellMar>
          <w:top w:w="0" w:type="dxa"/>
          <w:left w:w="108" w:type="dxa"/>
          <w:bottom w:w="0" w:type="dxa"/>
          <w:right w:w="108" w:type="dxa"/>
        </w:tblCellMar>
      </w:tblPr>
      <w:tblGrid>
        <w:gridCol w:w="2271"/>
        <w:gridCol w:w="4049"/>
      </w:tblGrid>
      <w:tr w14:paraId="3C78ED86">
        <w:tblPrEx>
          <w:tblCellMar>
            <w:top w:w="0" w:type="dxa"/>
            <w:left w:w="108" w:type="dxa"/>
            <w:bottom w:w="0" w:type="dxa"/>
            <w:right w:w="108" w:type="dxa"/>
          </w:tblCellMar>
        </w:tblPrEx>
        <w:trPr>
          <w:tblHeader/>
        </w:trPr>
        <w:tc>
          <w:tcPr>
            <w:tcBorders>
              <w:top w:val="single" w:color="000000" w:sz="8" w:space="0"/>
              <w:left w:val="nil"/>
              <w:bottom w:val="single" w:color="000000" w:sz="6" w:space="0"/>
              <w:right w:val="nil"/>
            </w:tcBorders>
            <w:vAlign w:val="center"/>
          </w:tcPr>
          <w:p w14:paraId="35F43B13">
            <w:pPr>
              <w:pStyle w:val="26"/>
              <w:spacing w:line="240" w:lineRule="auto" w:before="0" w:after="20"/>
              <w:jc w:val="left"/>
            </w:pPr>
            <w:r>
              <w:rPr>
                <w:rFonts w:ascii="Times New Roman" w:hAnsi="Times New Roman" w:eastAsia="Times New Roman" w:cs="Times New Roman"/>
                <w:b/>
                <w:color w:val="000000"/>
                <w:sz w:val="19"/>
              </w:rPr>
              <w:t>Field name</w:t>
            </w:r>
          </w:p>
        </w:tc>
        <w:tc>
          <w:tcPr>
            <w:tcBorders>
              <w:top w:val="single" w:color="000000" w:sz="8" w:space="0"/>
              <w:left w:val="nil"/>
              <w:bottom w:val="single" w:color="000000" w:sz="6" w:space="0"/>
              <w:right w:val="nil"/>
            </w:tcBorders>
            <w:vAlign w:val="center"/>
          </w:tcPr>
          <w:p w14:paraId="5D26AF6B">
            <w:pPr>
              <w:pStyle w:val="26"/>
              <w:spacing w:line="240" w:lineRule="auto" w:before="0" w:after="20"/>
              <w:jc w:val="center"/>
            </w:pPr>
            <w:r>
              <w:rPr>
                <w:rFonts w:ascii="Times New Roman" w:hAnsi="Times New Roman" w:eastAsia="Times New Roman" w:cs="Times New Roman"/>
                <w:b/>
                <w:color w:val="000000"/>
                <w:sz w:val="19"/>
              </w:rPr>
              <w:t>Definition</w:t>
            </w:r>
          </w:p>
        </w:tc>
      </w:tr>
      <w:tr w14:paraId="6A1AA2C1">
        <w:tblPrEx>
          <w:tblCellMar>
            <w:top w:w="0" w:type="dxa"/>
            <w:left w:w="108" w:type="dxa"/>
            <w:bottom w:w="0" w:type="dxa"/>
            <w:right w:w="108" w:type="dxa"/>
          </w:tblCellMar>
        </w:tblPrEx>
        <w:tc>
          <w:tcPr>
            <w:tcBorders>
              <w:top w:val="nil"/>
              <w:left w:val="nil"/>
              <w:bottom w:val="nil"/>
              <w:right w:val="nil"/>
            </w:tcBorders>
            <w:vAlign w:val="center"/>
          </w:tcPr>
          <w:p w14:paraId="4228651A">
            <w:pPr>
              <w:pStyle w:val="26"/>
              <w:spacing w:line="240" w:lineRule="auto" w:before="0" w:after="20"/>
              <w:jc w:val="left"/>
            </w:pPr>
            <w:r>
              <w:rPr>
                <w:rFonts w:ascii="Times New Roman" w:hAnsi="Times New Roman" w:eastAsia="Times New Roman" w:cs="Times New Roman"/>
                <w:color w:val="000000"/>
                <w:sz w:val="19"/>
              </w:rPr>
              <w:t>scope</w:t>
            </w:r>
          </w:p>
        </w:tc>
        <w:tc>
          <w:tcPr>
            <w:tcBorders>
              <w:top w:val="nil"/>
              <w:left w:val="nil"/>
              <w:bottom w:val="nil"/>
              <w:right w:val="nil"/>
            </w:tcBorders>
            <w:vAlign w:val="center"/>
          </w:tcPr>
          <w:p w14:paraId="7A5D352D">
            <w:pPr>
              <w:pStyle w:val="26"/>
              <w:spacing w:line="240" w:lineRule="auto" w:before="0" w:after="20"/>
              <w:jc w:val="center"/>
            </w:pPr>
            <w:r>
              <w:rPr>
                <w:rFonts w:ascii="Times New Roman" w:hAnsi="Times New Roman" w:eastAsia="Times New Roman" w:cs="Times New Roman"/>
                <w:color w:val="000000"/>
                <w:sz w:val="19"/>
              </w:rPr>
              <w:t>{tracking-only, end-to-end}</w:t>
            </w:r>
          </w:p>
        </w:tc>
      </w:tr>
      <w:tr w14:paraId="6E773B9F">
        <w:tblPrEx>
          <w:tblCellMar>
            <w:top w:w="0" w:type="dxa"/>
            <w:left w:w="108" w:type="dxa"/>
            <w:bottom w:w="0" w:type="dxa"/>
            <w:right w:w="108" w:type="dxa"/>
          </w:tblCellMar>
        </w:tblPrEx>
        <w:tc>
          <w:tcPr>
            <w:tcBorders>
              <w:top w:val="nil"/>
              <w:left w:val="nil"/>
              <w:bottom w:val="nil"/>
              <w:right w:val="nil"/>
            </w:tcBorders>
            <w:vAlign w:val="center"/>
          </w:tcPr>
          <w:p w14:paraId="4959BD51">
            <w:pPr>
              <w:pStyle w:val="26"/>
              <w:spacing w:line="240" w:lineRule="auto" w:before="0" w:after="20"/>
              <w:jc w:val="left"/>
            </w:pPr>
            <w:r>
              <w:rPr>
                <w:rFonts w:ascii="Times New Roman" w:hAnsi="Times New Roman" w:eastAsia="Times New Roman" w:cs="Times New Roman"/>
                <w:color w:val="000000"/>
                <w:sz w:val="19"/>
              </w:rPr>
              <w:t>elapsed_sec</w:t>
            </w:r>
          </w:p>
        </w:tc>
        <w:tc>
          <w:tcPr>
            <w:tcBorders>
              <w:top w:val="nil"/>
              <w:left w:val="nil"/>
              <w:bottom w:val="nil"/>
              <w:right w:val="nil"/>
            </w:tcBorders>
            <w:vAlign w:val="center"/>
          </w:tcPr>
          <w:p w14:paraId="3A2E5A8C">
            <w:pPr>
              <w:pStyle w:val="26"/>
              <w:spacing w:line="240" w:lineRule="auto" w:before="0" w:after="20"/>
              <w:jc w:val="center"/>
            </w:pPr>
            <w:r>
              <w:rPr>
                <w:rFonts w:ascii="Times New Roman" w:hAnsi="Times New Roman" w:eastAsia="Times New Roman" w:cs="Times New Roman"/>
                <w:color w:val="000000"/>
                <w:sz w:val="19"/>
              </w:rPr>
              <w:t>Wall-clock seconds per run</w:t>
            </w:r>
          </w:p>
        </w:tc>
      </w:tr>
      <w:tr w14:paraId="5DDD8EA5">
        <w:tblPrEx>
          <w:tblCellMar>
            <w:top w:w="0" w:type="dxa"/>
            <w:left w:w="108" w:type="dxa"/>
            <w:bottom w:w="0" w:type="dxa"/>
            <w:right w:w="108" w:type="dxa"/>
          </w:tblCellMar>
        </w:tblPrEx>
        <w:tc>
          <w:tcPr>
            <w:tcBorders>
              <w:top w:val="nil"/>
              <w:left w:val="nil"/>
              <w:bottom w:val="nil"/>
              <w:right w:val="nil"/>
            </w:tcBorders>
            <w:vAlign w:val="center"/>
          </w:tcPr>
          <w:p w14:paraId="1FE1AC08">
            <w:pPr>
              <w:pStyle w:val="26"/>
              <w:spacing w:line="240" w:lineRule="auto" w:before="0" w:after="20"/>
              <w:jc w:val="left"/>
            </w:pPr>
            <w:r>
              <w:rPr>
                <w:rFonts w:ascii="Times New Roman" w:hAnsi="Times New Roman" w:eastAsia="Times New Roman" w:cs="Times New Roman"/>
                <w:color w:val="000000"/>
                <w:sz w:val="19"/>
              </w:rPr>
              <w:t>fps</w:t>
            </w:r>
          </w:p>
        </w:tc>
        <w:tc>
          <w:tcPr>
            <w:tcBorders>
              <w:top w:val="nil"/>
              <w:left w:val="nil"/>
              <w:bottom w:val="nil"/>
              <w:right w:val="nil"/>
            </w:tcBorders>
            <w:vAlign w:val="center"/>
          </w:tcPr>
          <w:p w14:paraId="4038DDA6">
            <w:pPr>
              <w:pStyle w:val="26"/>
              <w:spacing w:line="240" w:lineRule="auto" w:before="0" w:after="20"/>
              <w:jc w:val="center"/>
            </w:pPr>
            <w:r>
              <w:rPr>
                <w:rFonts w:ascii="Times New Roman" w:hAnsi="Times New Roman" w:eastAsia="Times New Roman" w:cs="Times New Roman"/>
                <w:color w:val="000000"/>
                <w:sz w:val="19"/>
              </w:rPr>
              <w:t>Processed frames / elapsed_sec</w:t>
            </w:r>
          </w:p>
        </w:tc>
      </w:tr>
      <w:tr w14:paraId="6A981E44">
        <w:tblPrEx>
          <w:tblCellMar>
            <w:top w:w="0" w:type="dxa"/>
            <w:left w:w="108" w:type="dxa"/>
            <w:bottom w:w="0" w:type="dxa"/>
            <w:right w:w="108" w:type="dxa"/>
          </w:tblCellMar>
        </w:tblPrEx>
        <w:tc>
          <w:tcPr>
            <w:tcBorders>
              <w:top w:val="nil"/>
              <w:left w:val="nil"/>
              <w:bottom w:val="nil"/>
              <w:right w:val="nil"/>
            </w:tcBorders>
            <w:vAlign w:val="center"/>
          </w:tcPr>
          <w:p w14:paraId="6B422E43">
            <w:pPr>
              <w:pStyle w:val="26"/>
              <w:spacing w:line="240" w:lineRule="auto" w:before="0" w:after="20"/>
              <w:jc w:val="left"/>
            </w:pPr>
            <w:r>
              <w:rPr>
                <w:rFonts w:ascii="Times New Roman" w:hAnsi="Times New Roman" w:eastAsia="Times New Roman" w:cs="Times New Roman"/>
                <w:color w:val="000000"/>
                <w:sz w:val="19"/>
              </w:rPr>
              <w:t>mem_peak_mb</w:t>
            </w:r>
          </w:p>
        </w:tc>
        <w:tc>
          <w:tcPr>
            <w:tcBorders>
              <w:top w:val="nil"/>
              <w:left w:val="nil"/>
              <w:bottom w:val="nil"/>
              <w:right w:val="nil"/>
            </w:tcBorders>
            <w:vAlign w:val="center"/>
          </w:tcPr>
          <w:p w14:paraId="1B276D74">
            <w:pPr>
              <w:pStyle w:val="26"/>
              <w:spacing w:line="240" w:lineRule="auto" w:before="0" w:after="20"/>
              <w:jc w:val="center"/>
            </w:pPr>
            <w:r>
              <w:rPr>
                <w:rFonts w:ascii="Times New Roman" w:hAnsi="Times New Roman" w:eastAsia="Times New Roman" w:cs="Times New Roman"/>
                <w:color w:val="000000"/>
                <w:sz w:val="19"/>
              </w:rPr>
              <w:t>Peak resident memory in MB</w:t>
            </w:r>
          </w:p>
        </w:tc>
      </w:tr>
      <w:tr w14:paraId="3317C12A">
        <w:tblPrEx>
          <w:tblCellMar>
            <w:top w:w="0" w:type="dxa"/>
            <w:left w:w="108" w:type="dxa"/>
            <w:bottom w:w="0" w:type="dxa"/>
            <w:right w:w="108" w:type="dxa"/>
          </w:tblCellMar>
        </w:tblPrEx>
        <w:tc>
          <w:tcPr>
            <w:tcBorders>
              <w:top w:val="nil"/>
              <w:left w:val="nil"/>
              <w:bottom w:val="nil"/>
              <w:right w:val="nil"/>
            </w:tcBorders>
            <w:vAlign w:val="center"/>
          </w:tcPr>
          <w:p w14:paraId="443656FA">
            <w:pPr>
              <w:pStyle w:val="26"/>
              <w:spacing w:line="240" w:lineRule="auto" w:before="0" w:after="20"/>
              <w:jc w:val="left"/>
            </w:pPr>
            <w:r>
              <w:rPr>
                <w:rFonts w:ascii="Times New Roman" w:hAnsi="Times New Roman" w:eastAsia="Times New Roman" w:cs="Times New Roman"/>
                <w:color w:val="000000"/>
                <w:sz w:val="19"/>
              </w:rPr>
              <w:t>cpu_mean_1core_percent</w:t>
            </w:r>
          </w:p>
        </w:tc>
        <w:tc>
          <w:tcPr>
            <w:tcBorders>
              <w:top w:val="nil"/>
              <w:left w:val="nil"/>
              <w:bottom w:val="nil"/>
              <w:right w:val="nil"/>
            </w:tcBorders>
            <w:vAlign w:val="center"/>
          </w:tcPr>
          <w:p w14:paraId="1B22EAFD">
            <w:pPr>
              <w:pStyle w:val="26"/>
              <w:spacing w:line="240" w:lineRule="auto" w:before="0" w:after="20"/>
              <w:jc w:val="center"/>
            </w:pPr>
            <w:r>
              <w:rPr>
                <w:rFonts w:ascii="Times New Roman" w:hAnsi="Times New Roman" w:eastAsia="Times New Roman" w:cs="Times New Roman"/>
                <w:color w:val="000000"/>
                <w:sz w:val="19"/>
              </w:rPr>
              <w:t>Mean process CPU percentage (monitor-native)</w:t>
            </w:r>
          </w:p>
        </w:tc>
      </w:tr>
      <w:tr w14:paraId="2FEAF091">
        <w:tblPrEx>
          <w:tblCellMar>
            <w:top w:w="0" w:type="dxa"/>
            <w:left w:w="108" w:type="dxa"/>
            <w:bottom w:w="0" w:type="dxa"/>
            <w:right w:w="108" w:type="dxa"/>
          </w:tblCellMar>
        </w:tblPrEx>
        <w:tc>
          <w:tcPr>
            <w:tcBorders>
              <w:top w:val="nil"/>
              <w:left w:val="nil"/>
              <w:bottom w:val="nil"/>
              <w:right w:val="nil"/>
            </w:tcBorders>
            <w:vAlign w:val="center"/>
          </w:tcPr>
          <w:p w14:paraId="1F2FCE97">
            <w:pPr>
              <w:pStyle w:val="26"/>
              <w:spacing w:line="240" w:lineRule="auto" w:before="0" w:after="20"/>
              <w:jc w:val="left"/>
            </w:pPr>
            <w:r>
              <w:rPr>
                <w:rFonts w:ascii="Times New Roman" w:hAnsi="Times New Roman" w:eastAsia="Times New Roman" w:cs="Times New Roman"/>
                <w:color w:val="000000"/>
                <w:sz w:val="19"/>
              </w:rPr>
              <w:t>cpu_mean_norm_percent</w:t>
            </w:r>
          </w:p>
        </w:tc>
        <w:tc>
          <w:tcPr>
            <w:tcBorders>
              <w:top w:val="nil"/>
              <w:left w:val="nil"/>
              <w:bottom w:val="nil"/>
              <w:right w:val="nil"/>
            </w:tcBorders>
            <w:vAlign w:val="center"/>
          </w:tcPr>
          <w:p w14:paraId="6880C3E9">
            <w:pPr>
              <w:pStyle w:val="26"/>
              <w:spacing w:line="240" w:lineRule="auto" w:before="0" w:after="20"/>
              <w:jc w:val="center"/>
            </w:pPr>
            <w:r>
              <w:rPr>
                <w:rFonts w:ascii="Times New Roman" w:hAnsi="Times New Roman" w:eastAsia="Times New Roman" w:cs="Times New Roman"/>
                <w:color w:val="000000"/>
                <w:sz w:val="19"/>
              </w:rPr>
              <w:t>cpu_mean_1core_percent / logical CPU count</w:t>
            </w:r>
          </w:p>
        </w:tc>
      </w:tr>
      <w:tr w14:paraId="298312CF">
        <w:tblPrEx>
          <w:tblCellMar>
            <w:top w:w="0" w:type="dxa"/>
            <w:left w:w="108" w:type="dxa"/>
            <w:bottom w:w="0" w:type="dxa"/>
            <w:right w:w="108" w:type="dxa"/>
          </w:tblCellMar>
        </w:tblPrEx>
        <w:tc>
          <w:tcPr>
            <w:tcBorders>
              <w:top w:val="nil"/>
              <w:left w:val="nil"/>
              <w:bottom w:val="nil"/>
              <w:right w:val="nil"/>
            </w:tcBorders>
            <w:vAlign w:val="center"/>
          </w:tcPr>
          <w:p w14:paraId="03F0CB89">
            <w:pPr>
              <w:pStyle w:val="26"/>
              <w:spacing w:line="240" w:lineRule="auto" w:before="0" w:after="20"/>
              <w:jc w:val="left"/>
            </w:pPr>
            <w:r>
              <w:rPr>
                <w:rFonts w:ascii="Times New Roman" w:hAnsi="Times New Roman" w:eastAsia="Times New Roman" w:cs="Times New Roman"/>
                <w:color w:val="000000"/>
                <w:sz w:val="19"/>
              </w:rPr>
              <w:t>warmup_iters</w:t>
            </w:r>
          </w:p>
        </w:tc>
        <w:tc>
          <w:tcPr>
            <w:tcBorders>
              <w:top w:val="nil"/>
              <w:left w:val="nil"/>
              <w:bottom w:val="nil"/>
              <w:right w:val="nil"/>
            </w:tcBorders>
            <w:vAlign w:val="center"/>
          </w:tcPr>
          <w:p w14:paraId="7C178083">
            <w:pPr>
              <w:pStyle w:val="26"/>
              <w:spacing w:line="240" w:lineRule="auto" w:before="0" w:after="20"/>
              <w:jc w:val="center"/>
            </w:pPr>
            <w:r>
              <w:rPr>
                <w:rFonts w:ascii="Times New Roman" w:hAnsi="Times New Roman" w:eastAsia="Times New Roman" w:cs="Times New Roman"/>
                <w:color w:val="000000"/>
                <w:sz w:val="19"/>
              </w:rPr>
              <w:t>Number of warm-up iterations before timing</w:t>
            </w:r>
          </w:p>
        </w:tc>
      </w:tr>
      <w:tr w14:paraId="02F807D7">
        <w:tblPrEx>
          <w:tblCellMar>
            <w:top w:w="0" w:type="dxa"/>
            <w:left w:w="108" w:type="dxa"/>
            <w:bottom w:w="0" w:type="dxa"/>
            <w:right w:w="108" w:type="dxa"/>
          </w:tblCellMar>
        </w:tblPrEx>
        <w:tc>
          <w:tcPr>
            <w:tcBorders>
              <w:top w:val="nil"/>
              <w:left w:val="nil"/>
              <w:bottom w:val="single" w:color="000000" w:sz="8" w:space="0"/>
              <w:right w:val="nil"/>
            </w:tcBorders>
            <w:vAlign w:val="center"/>
          </w:tcPr>
          <w:p w14:paraId="0398440D">
            <w:pPr>
              <w:pStyle w:val="26"/>
              <w:spacing w:line="240" w:lineRule="auto" w:before="0" w:after="20"/>
              <w:jc w:val="left"/>
            </w:pPr>
            <w:r>
              <w:rPr>
                <w:rFonts w:ascii="Times New Roman" w:hAnsi="Times New Roman" w:eastAsia="Times New Roman" w:cs="Times New Roman"/>
                <w:color w:val="000000"/>
                <w:sz w:val="19"/>
              </w:rPr>
              <w:t>repeat_runs</w:t>
            </w:r>
          </w:p>
        </w:tc>
        <w:tc>
          <w:tcPr>
            <w:tcBorders>
              <w:top w:val="nil"/>
              <w:left w:val="nil"/>
              <w:bottom w:val="single" w:color="000000" w:sz="8" w:space="0"/>
              <w:right w:val="nil"/>
            </w:tcBorders>
            <w:vAlign w:val="center"/>
          </w:tcPr>
          <w:p w14:paraId="7966F499">
            <w:pPr>
              <w:pStyle w:val="26"/>
              <w:spacing w:line="240" w:lineRule="auto" w:before="0" w:after="20"/>
              <w:jc w:val="center"/>
            </w:pPr>
            <w:r>
              <w:rPr>
                <w:rFonts w:ascii="Times New Roman" w:hAnsi="Times New Roman" w:eastAsia="Times New Roman" w:cs="Times New Roman"/>
                <w:color w:val="000000"/>
                <w:sz w:val="19"/>
              </w:rPr>
              <w:t>Number of repeated timed runs</w:t>
            </w:r>
          </w:p>
        </w:tc>
      </w:tr>
      <w:bookmarkEnd w:id="23"/>
      <w:bookmarkEnd w:id="24"/>
    </w:tbl>
    <w:p w14:paraId="62BB93C9">
      <w:pPr>
        <w:pStyle w:val="4"/>
        <w:keepNext/>
        <w:keepLines w:val="0"/>
        <w:widowControl/>
        <w:jc w:val="left"/>
      </w:pPr>
      <w:bookmarkStart w:id="25" w:name="research-questions"/>
      <w:r>
        <w:rPr>
          <w:rFonts w:ascii="Times New Roman" w:hAnsi="Times New Roman" w:eastAsia="Times New Roman" w:cs="Times New Roman"/>
          <w:b/>
          <w:color w:val="000000"/>
          <w:sz w:val="20"/>
        </w:rPr>
        <w:t>3.3.4 Research questions</w:t>
      </w:r>
    </w:p>
    <w:p w14:paraId="056561A6">
      <w:pPr>
        <w:pStyle w:val="25"/>
        <w:keepLines w:val="0"/>
        <w:widowControl/>
        <w:spacing w:line="276" w:lineRule="auto" w:before="0" w:after="80"/>
        <w:jc w:val="both"/>
      </w:pPr>
      <w:r>
        <w:rPr>
          <w:rFonts w:ascii="Times New Roman" w:hAnsi="Times New Roman" w:eastAsia="Times New Roman" w:cs="Times New Roman"/>
          <w:color w:val="000000"/>
          <w:sz w:val="20"/>
        </w:rPr>
        <w:t>RQ1: How do core variants and strong baselines compare on global metrics?</w:t>
      </w:r>
      <w:r>
        <w:rPr>
          <w:rFonts w:ascii="Times New Roman" w:hAnsi="Times New Roman" w:eastAsia="Times New Roman" w:cs="Times New Roman"/>
          <w:color w:val="000000"/>
          <w:sz w:val="20"/>
        </w:rPr>
        <w:br w:type="textWrapping"/>
      </w:r>
      <w:r>
        <w:rPr>
          <w:rFonts w:ascii="Times New Roman" w:hAnsi="Times New Roman" w:eastAsia="Times New Roman" w:cs="Times New Roman"/>
          <w:color w:val="000000"/>
          <w:sz w:val="20"/>
        </w:rPr>
        <w:t>RQ2: What robustness trend appears under controlled degradation?</w:t>
      </w:r>
      <w:r>
        <w:rPr>
          <w:rFonts w:ascii="Times New Roman" w:hAnsi="Times New Roman" w:eastAsia="Times New Roman" w:cs="Times New Roman"/>
          <w:color w:val="000000"/>
          <w:sz w:val="20"/>
        </w:rPr>
        <w:br w:type="textWrapping"/>
      </w:r>
      <w:r>
        <w:rPr>
          <w:rFonts w:ascii="Times New Roman" w:hAnsi="Times New Roman" w:eastAsia="Times New Roman" w:cs="Times New Roman"/>
          <w:color w:val="000000"/>
          <w:sz w:val="20"/>
        </w:rPr>
        <w:t>RQ3: Which difficulty buckets dominate ID switches and counting errors?</w:t>
      </w:r>
      <w:r>
        <w:rPr>
          <w:rFonts w:ascii="Times New Roman" w:hAnsi="Times New Roman" w:eastAsia="Times New Roman" w:cs="Times New Roman"/>
          <w:color w:val="000000"/>
          <w:sz w:val="20"/>
        </w:rPr>
        <w:br w:type="textWrapping"/>
      </w:r>
      <w:r>
        <w:rPr>
          <w:rFonts w:ascii="Times New Roman" w:hAnsi="Times New Roman" w:eastAsia="Times New Roman" w:cs="Times New Roman"/>
          <w:color w:val="000000"/>
          <w:sz w:val="20"/>
        </w:rPr>
        <w:t>RQ4: Which methods satisfy deployment budgets on FPS/memory/CPU?</w:t>
      </w:r>
    </w:p>
    <w:bookmarkEnd w:id="20"/>
    <w:bookmarkEnd w:id="25"/>
    <w:p w14:paraId="54446F86">
      <w:pPr>
        <w:pStyle w:val="2"/>
        <w:keepNext/>
        <w:keepLines w:val="0"/>
        <w:widowControl/>
        <w:jc w:val="left"/>
      </w:pPr>
      <w:bookmarkStart w:id="26" w:name="results"/>
      <w:r>
        <w:rPr>
          <w:rFonts w:ascii="Times New Roman" w:hAnsi="Times New Roman" w:eastAsia="Times New Roman" w:cs="Times New Roman"/>
          <w:b/>
          <w:color w:val="000000"/>
          <w:sz w:val="22"/>
        </w:rPr>
        <w:t>4. Results</w:t>
      </w:r>
    </w:p>
    <w:p w14:paraId="09890F9A">
      <w:pPr>
        <w:pStyle w:val="4"/>
        <w:keepNext/>
        <w:keepLines w:val="0"/>
        <w:widowControl/>
        <w:jc w:val="left"/>
      </w:pPr>
      <w:bookmarkStart w:id="27" w:name="core-method-family-base-to-adaptive"/>
      <w:r>
        <w:rPr>
          <w:rFonts w:ascii="Times New Roman" w:hAnsi="Times New Roman" w:eastAsia="Times New Roman" w:cs="Times New Roman"/>
          <w:b/>
          <w:color w:val="000000"/>
          <w:sz w:val="20"/>
        </w:rPr>
        <w:t>4.1 Core method family (Base to +adaptive)</w:t>
      </w:r>
    </w:p>
    <w:p w14:paraId="170C5C99">
      <w:pPr>
        <w:pStyle w:val="25"/>
        <w:keepLines w:val="0"/>
        <w:widowControl/>
        <w:spacing w:line="276" w:lineRule="auto" w:before="0" w:after="80"/>
        <w:jc w:val="both"/>
        <w:rPr>
          <w:rFonts w:ascii="Times New Roman" w:hAnsi="Times New Roman"/>
          <w:b w:val="0"/>
          <w:i w:val="0"/>
          <w:sz w:val="20"/>
        </w:rPr>
      </w:pPr>
      <w:r>
        <w:rPr>
          <w:rFonts w:ascii="Times New Roman" w:hAnsi="Times New Roman" w:eastAsia="Times New Roman" w:cs="Times New Roman"/>
          <w:color w:val="000000"/>
          <w:sz w:val="20"/>
        </w:rPr>
        <w:t>Table and Fig. 1 answer RQ1 for the internal method family. Base achieves HOTA 58.232 ± 0.304 and IDF1 64.042 ± 0.550. In this frozen run, +gating/+traj/+adaptive are below Base on HOTA/IDF1 and above Base on IDSW,</w:t>
      </w:r>
      <w:r>
        <w:rPr>
          <w:rFonts w:ascii="Times New Roman" w:hAnsi="Times New Roman" w:eastAsia="Times New Roman" w:cs="Times New Roman"/>
          <w:b w:val="0"/>
          <w:i w:val="0"/>
          <w:color w:val="000000"/>
          <w:sz w:val="20"/>
        </w:rPr>
        <w:t xml:space="preserve"> so they are interpreted as trade-off variants rather than monotonic improvements..</w:t>
      </w:r>
    </w:p>
    <w:tbl>
      <w:tblPr>
        <w:tblStyle w:val="19"/>
        <w:tblW w:w="0" w:type="auto"/>
        <w:jc w:val="center"/>
        <w:tblInd w:w="0" w:type="dxa"/>
        <w:tblLayout w:type="autofit"/>
        <w:tblCellMar>
          <w:top w:w="0" w:type="dxa"/>
          <w:left w:w="10" w:type="dxa"/>
          <w:bottom w:w="0" w:type="dxa"/>
          <w:right w:w="10" w:type="dxa"/>
        </w:tblCellMar>
      </w:tblPr>
      <w:tblGrid>
        <w:gridCol w:w="1509"/>
        <w:gridCol w:w="1507"/>
        <w:gridCol w:w="1507"/>
        <w:gridCol w:w="1507"/>
        <w:gridCol w:w="1507"/>
        <w:gridCol w:w="1509"/>
      </w:tblGrid>
      <w:tr w14:paraId="72EE0715">
        <w:tblPrEx>
          <w:tblCellMar>
            <w:top w:w="0" w:type="dxa"/>
            <w:left w:w="10" w:type="dxa"/>
            <w:bottom w:w="0" w:type="dxa"/>
            <w:right w:w="10" w:type="dxa"/>
          </w:tblCellMar>
        </w:tblPrEx>
        <w:tc>
          <w:tcPr>
            <w:tcW w:w="1512" w:type="dxa"/>
            <w:tcBorders>
              <w:top w:val="single" w:color="000000" w:sz="8" w:space="0"/>
              <w:left w:val="nil"/>
              <w:bottom w:val="single" w:color="000000" w:sz="6" w:space="0"/>
              <w:right w:val="nil"/>
            </w:tcBorders>
            <w:vAlign w:val="center"/>
          </w:tcPr>
          <w:p w14:paraId="4C9A6E5C">
            <w:pPr>
              <w:spacing w:line="240" w:lineRule="auto" w:before="0" w:after="20"/>
              <w:jc w:val="left"/>
            </w:pPr>
            <w:r>
              <w:rPr>
                <w:rFonts w:ascii="Times New Roman" w:hAnsi="Times New Roman" w:eastAsia="Times New Roman" w:cs="Times New Roman"/>
                <w:b/>
                <w:color w:val="000000"/>
                <w:sz w:val="18"/>
              </w:rPr>
              <w:t>Method</w:t>
            </w:r>
          </w:p>
        </w:tc>
        <w:tc>
          <w:tcPr>
            <w:tcW w:w="1512" w:type="dxa"/>
            <w:tcBorders>
              <w:top w:val="single" w:color="000000" w:sz="8" w:space="0"/>
              <w:left w:val="nil"/>
              <w:bottom w:val="single" w:color="000000" w:sz="6" w:space="0"/>
              <w:right w:val="nil"/>
            </w:tcBorders>
            <w:vAlign w:val="center"/>
          </w:tcPr>
          <w:p w14:paraId="5ECA107F">
            <w:pPr>
              <w:spacing w:line="240" w:lineRule="auto" w:before="0" w:after="20"/>
              <w:jc w:val="center"/>
            </w:pPr>
            <w:r>
              <w:rPr>
                <w:rFonts w:ascii="Times New Roman" w:hAnsi="Times New Roman" w:eastAsia="Times New Roman" w:cs="Times New Roman"/>
                <w:b/>
                <w:color w:val="000000"/>
                <w:sz w:val="18"/>
              </w:rPr>
              <w:t>HOTA</w:t>
            </w:r>
          </w:p>
        </w:tc>
        <w:tc>
          <w:tcPr>
            <w:tcW w:w="1512" w:type="dxa"/>
            <w:tcBorders>
              <w:top w:val="single" w:color="000000" w:sz="8" w:space="0"/>
              <w:left w:val="nil"/>
              <w:bottom w:val="single" w:color="000000" w:sz="6" w:space="0"/>
              <w:right w:val="nil"/>
            </w:tcBorders>
            <w:vAlign w:val="center"/>
          </w:tcPr>
          <w:p w14:paraId="6EF1D675">
            <w:pPr>
              <w:spacing w:line="240" w:lineRule="auto" w:before="0" w:after="20"/>
              <w:jc w:val="center"/>
            </w:pPr>
            <w:r>
              <w:rPr>
                <w:rFonts w:ascii="Times New Roman" w:hAnsi="Times New Roman" w:eastAsia="Times New Roman" w:cs="Times New Roman"/>
                <w:b/>
                <w:color w:val="000000"/>
                <w:sz w:val="18"/>
              </w:rPr>
              <w:t>DetA</w:t>
            </w:r>
          </w:p>
        </w:tc>
        <w:tc>
          <w:tcPr>
            <w:tcW w:w="1512" w:type="dxa"/>
            <w:tcBorders>
              <w:top w:val="single" w:color="000000" w:sz="8" w:space="0"/>
              <w:left w:val="nil"/>
              <w:bottom w:val="single" w:color="000000" w:sz="6" w:space="0"/>
              <w:right w:val="nil"/>
            </w:tcBorders>
            <w:vAlign w:val="center"/>
          </w:tcPr>
          <w:p w14:paraId="7485F830">
            <w:pPr>
              <w:spacing w:line="240" w:lineRule="auto" w:before="0" w:after="20"/>
              <w:jc w:val="center"/>
            </w:pPr>
            <w:r>
              <w:rPr>
                <w:rFonts w:ascii="Times New Roman" w:hAnsi="Times New Roman" w:eastAsia="Times New Roman" w:cs="Times New Roman"/>
                <w:b/>
                <w:color w:val="000000"/>
                <w:sz w:val="18"/>
              </w:rPr>
              <w:t>AssA</w:t>
            </w:r>
          </w:p>
        </w:tc>
        <w:tc>
          <w:tcPr>
            <w:tcW w:w="1512" w:type="dxa"/>
            <w:tcBorders>
              <w:top w:val="single" w:color="000000" w:sz="8" w:space="0"/>
              <w:left w:val="nil"/>
              <w:bottom w:val="single" w:color="000000" w:sz="6" w:space="0"/>
              <w:right w:val="nil"/>
            </w:tcBorders>
            <w:vAlign w:val="center"/>
          </w:tcPr>
          <w:p w14:paraId="0DB3AEAA">
            <w:pPr>
              <w:spacing w:line="240" w:lineRule="auto" w:before="0" w:after="20"/>
              <w:jc w:val="center"/>
            </w:pPr>
            <w:r>
              <w:rPr>
                <w:rFonts w:ascii="Times New Roman" w:hAnsi="Times New Roman" w:eastAsia="Times New Roman" w:cs="Times New Roman"/>
                <w:b/>
                <w:color w:val="000000"/>
                <w:sz w:val="18"/>
              </w:rPr>
              <w:t>IDF1</w:t>
            </w:r>
          </w:p>
        </w:tc>
        <w:tc>
          <w:tcPr>
            <w:tcW w:w="1512" w:type="dxa"/>
            <w:tcBorders>
              <w:top w:val="single" w:color="000000" w:sz="8" w:space="0"/>
              <w:left w:val="nil"/>
              <w:bottom w:val="single" w:color="000000" w:sz="6" w:space="0"/>
              <w:right w:val="nil"/>
            </w:tcBorders>
            <w:vAlign w:val="center"/>
          </w:tcPr>
          <w:p w14:paraId="61B6A933">
            <w:pPr>
              <w:spacing w:line="240" w:lineRule="auto" w:before="0" w:after="20"/>
              <w:jc w:val="center"/>
            </w:pPr>
            <w:r>
              <w:rPr>
                <w:rFonts w:ascii="Times New Roman" w:hAnsi="Times New Roman" w:eastAsia="Times New Roman" w:cs="Times New Roman"/>
                <w:b/>
                <w:color w:val="000000"/>
                <w:sz w:val="18"/>
              </w:rPr>
              <w:t>IDSW</w:t>
            </w:r>
          </w:p>
        </w:tc>
      </w:tr>
      <w:tr w14:paraId="2C1888D1">
        <w:tblPrEx>
          <w:tblCellMar>
            <w:top w:w="0" w:type="dxa"/>
            <w:left w:w="10" w:type="dxa"/>
            <w:bottom w:w="0" w:type="dxa"/>
            <w:right w:w="10" w:type="dxa"/>
          </w:tblCellMar>
        </w:tblPrEx>
        <w:tc>
          <w:tcPr>
            <w:tcW w:w="1512" w:type="dxa"/>
            <w:tcBorders>
              <w:top w:val="nil"/>
              <w:left w:val="nil"/>
              <w:bottom w:val="nil"/>
              <w:right w:val="nil"/>
            </w:tcBorders>
            <w:vAlign w:val="center"/>
          </w:tcPr>
          <w:p w14:paraId="7DE9CF9B">
            <w:pPr>
              <w:spacing w:line="240" w:lineRule="auto" w:before="0" w:after="20"/>
              <w:jc w:val="left"/>
            </w:pPr>
            <w:r>
              <w:rPr>
                <w:rFonts w:ascii="Times New Roman" w:hAnsi="Times New Roman" w:eastAsia="Times New Roman" w:cs="Times New Roman"/>
                <w:color w:val="000000"/>
                <w:sz w:val="18"/>
              </w:rPr>
              <w:t>Base</w:t>
            </w:r>
          </w:p>
        </w:tc>
        <w:tc>
          <w:tcPr>
            <w:tcW w:w="1512" w:type="dxa"/>
            <w:tcBorders>
              <w:top w:val="nil"/>
              <w:left w:val="nil"/>
              <w:bottom w:val="nil"/>
              <w:right w:val="nil"/>
            </w:tcBorders>
            <w:vAlign w:val="center"/>
          </w:tcPr>
          <w:p w14:paraId="39DA498A">
            <w:pPr>
              <w:spacing w:line="240" w:lineRule="auto" w:before="0" w:after="20"/>
              <w:jc w:val="center"/>
            </w:pPr>
            <w:r>
              <w:rPr>
                <w:rFonts w:ascii="Times New Roman" w:hAnsi="Times New Roman" w:eastAsia="Times New Roman" w:cs="Times New Roman"/>
                <w:color w:val="000000"/>
                <w:sz w:val="18"/>
              </w:rPr>
              <w:t>58.232 ± 0.304</w:t>
            </w:r>
          </w:p>
        </w:tc>
        <w:tc>
          <w:tcPr>
            <w:tcW w:w="1512" w:type="dxa"/>
            <w:tcBorders>
              <w:top w:val="nil"/>
              <w:left w:val="nil"/>
              <w:bottom w:val="nil"/>
              <w:right w:val="nil"/>
            </w:tcBorders>
            <w:vAlign w:val="center"/>
          </w:tcPr>
          <w:p w14:paraId="378F45CA">
            <w:pPr>
              <w:spacing w:line="240" w:lineRule="auto" w:before="0" w:after="20"/>
              <w:jc w:val="center"/>
            </w:pPr>
            <w:r>
              <w:rPr>
                <w:rFonts w:ascii="Times New Roman" w:hAnsi="Times New Roman" w:eastAsia="Times New Roman" w:cs="Times New Roman"/>
                <w:color w:val="000000"/>
                <w:sz w:val="18"/>
              </w:rPr>
              <w:t>73.150 ± 0.037</w:t>
            </w:r>
          </w:p>
        </w:tc>
        <w:tc>
          <w:tcPr>
            <w:tcW w:w="1512" w:type="dxa"/>
            <w:tcBorders>
              <w:top w:val="nil"/>
              <w:left w:val="nil"/>
              <w:bottom w:val="nil"/>
              <w:right w:val="nil"/>
            </w:tcBorders>
            <w:vAlign w:val="center"/>
          </w:tcPr>
          <w:p w14:paraId="0EA9F62D">
            <w:pPr>
              <w:spacing w:line="240" w:lineRule="auto" w:before="0" w:after="20"/>
              <w:jc w:val="center"/>
            </w:pPr>
            <w:r>
              <w:rPr>
                <w:rFonts w:ascii="Times New Roman" w:hAnsi="Times New Roman" w:eastAsia="Times New Roman" w:cs="Times New Roman"/>
                <w:color w:val="000000"/>
                <w:sz w:val="18"/>
              </w:rPr>
              <w:t>48.121 ± 0.577</w:t>
            </w:r>
          </w:p>
        </w:tc>
        <w:tc>
          <w:tcPr>
            <w:tcW w:w="1512" w:type="dxa"/>
            <w:tcBorders>
              <w:top w:val="nil"/>
              <w:left w:val="nil"/>
              <w:bottom w:val="nil"/>
              <w:right w:val="nil"/>
            </w:tcBorders>
            <w:vAlign w:val="center"/>
          </w:tcPr>
          <w:p w14:paraId="4013E159">
            <w:pPr>
              <w:spacing w:line="240" w:lineRule="auto" w:before="0" w:after="20"/>
              <w:jc w:val="center"/>
            </w:pPr>
            <w:r>
              <w:rPr>
                <w:rFonts w:ascii="Times New Roman" w:hAnsi="Times New Roman" w:eastAsia="Times New Roman" w:cs="Times New Roman"/>
                <w:color w:val="000000"/>
                <w:sz w:val="18"/>
              </w:rPr>
              <w:t>64.042 ± 0.550</w:t>
            </w:r>
          </w:p>
        </w:tc>
        <w:tc>
          <w:tcPr>
            <w:tcW w:w="1512" w:type="dxa"/>
            <w:tcBorders>
              <w:top w:val="nil"/>
              <w:left w:val="nil"/>
              <w:bottom w:val="nil"/>
              <w:right w:val="nil"/>
            </w:tcBorders>
            <w:vAlign w:val="center"/>
          </w:tcPr>
          <w:p w14:paraId="6133EB2E">
            <w:pPr>
              <w:spacing w:line="240" w:lineRule="auto" w:before="0" w:after="20"/>
              <w:jc w:val="center"/>
            </w:pPr>
            <w:r>
              <w:rPr>
                <w:rFonts w:ascii="Times New Roman" w:hAnsi="Times New Roman" w:eastAsia="Times New Roman" w:cs="Times New Roman"/>
                <w:color w:val="000000"/>
                <w:sz w:val="18"/>
              </w:rPr>
              <w:t>79.375 ± 1.203</w:t>
            </w:r>
          </w:p>
        </w:tc>
      </w:tr>
      <w:tr w14:paraId="068F47D1">
        <w:tblPrEx>
          <w:tblCellMar>
            <w:top w:w="0" w:type="dxa"/>
            <w:left w:w="10" w:type="dxa"/>
            <w:bottom w:w="0" w:type="dxa"/>
            <w:right w:w="10" w:type="dxa"/>
          </w:tblCellMar>
        </w:tblPrEx>
        <w:tc>
          <w:tcPr>
            <w:tcW w:w="1512" w:type="dxa"/>
            <w:tcBorders>
              <w:top w:val="nil"/>
              <w:left w:val="nil"/>
              <w:bottom w:val="nil"/>
              <w:right w:val="nil"/>
            </w:tcBorders>
            <w:vAlign w:val="center"/>
          </w:tcPr>
          <w:p w14:paraId="408CD63C">
            <w:pPr>
              <w:spacing w:line="240" w:lineRule="auto" w:before="0" w:after="20"/>
              <w:jc w:val="left"/>
            </w:pPr>
            <w:r>
              <w:rPr>
                <w:rFonts w:ascii="Times New Roman" w:hAnsi="Times New Roman" w:eastAsia="Times New Roman" w:cs="Times New Roman"/>
                <w:color w:val="000000"/>
                <w:sz w:val="18"/>
              </w:rPr>
              <w:t>+gating</w:t>
            </w:r>
          </w:p>
        </w:tc>
        <w:tc>
          <w:tcPr>
            <w:tcW w:w="1512" w:type="dxa"/>
            <w:tcBorders>
              <w:top w:val="nil"/>
              <w:left w:val="nil"/>
              <w:bottom w:val="nil"/>
              <w:right w:val="nil"/>
            </w:tcBorders>
            <w:vAlign w:val="center"/>
          </w:tcPr>
          <w:p w14:paraId="347A9696">
            <w:pPr>
              <w:spacing w:line="240" w:lineRule="auto" w:before="0" w:after="20"/>
              <w:jc w:val="center"/>
            </w:pPr>
            <w:r>
              <w:rPr>
                <w:rFonts w:ascii="Times New Roman" w:hAnsi="Times New Roman" w:eastAsia="Times New Roman" w:cs="Times New Roman"/>
                <w:color w:val="000000"/>
                <w:sz w:val="18"/>
              </w:rPr>
              <w:t>50.345 ± 2.317</w:t>
            </w:r>
          </w:p>
        </w:tc>
        <w:tc>
          <w:tcPr>
            <w:tcW w:w="1512" w:type="dxa"/>
            <w:tcBorders>
              <w:top w:val="nil"/>
              <w:left w:val="nil"/>
              <w:bottom w:val="nil"/>
              <w:right w:val="nil"/>
            </w:tcBorders>
            <w:vAlign w:val="center"/>
          </w:tcPr>
          <w:p w14:paraId="08362E86">
            <w:pPr>
              <w:spacing w:line="240" w:lineRule="auto" w:before="0" w:after="20"/>
              <w:jc w:val="center"/>
            </w:pPr>
            <w:r>
              <w:rPr>
                <w:rFonts w:ascii="Times New Roman" w:hAnsi="Times New Roman" w:eastAsia="Times New Roman" w:cs="Times New Roman"/>
                <w:color w:val="000000"/>
                <w:sz w:val="18"/>
              </w:rPr>
              <w:t>72.504 ± 0.033</w:t>
            </w:r>
          </w:p>
        </w:tc>
        <w:tc>
          <w:tcPr>
            <w:tcW w:w="1512" w:type="dxa"/>
            <w:tcBorders>
              <w:top w:val="nil"/>
              <w:left w:val="nil"/>
              <w:bottom w:val="nil"/>
              <w:right w:val="nil"/>
            </w:tcBorders>
            <w:vAlign w:val="center"/>
          </w:tcPr>
          <w:p w14:paraId="21DE7C32">
            <w:pPr>
              <w:spacing w:line="240" w:lineRule="auto" w:before="0" w:after="20"/>
              <w:jc w:val="center"/>
            </w:pPr>
            <w:r>
              <w:rPr>
                <w:rFonts w:ascii="Times New Roman" w:hAnsi="Times New Roman" w:eastAsia="Times New Roman" w:cs="Times New Roman"/>
                <w:color w:val="000000"/>
                <w:sz w:val="18"/>
              </w:rPr>
              <w:t>37.281 ± 3.652</w:t>
            </w:r>
          </w:p>
        </w:tc>
        <w:tc>
          <w:tcPr>
            <w:tcW w:w="1512" w:type="dxa"/>
            <w:tcBorders>
              <w:top w:val="nil"/>
              <w:left w:val="nil"/>
              <w:bottom w:val="nil"/>
              <w:right w:val="nil"/>
            </w:tcBorders>
            <w:vAlign w:val="center"/>
          </w:tcPr>
          <w:p w14:paraId="11358367">
            <w:pPr>
              <w:spacing w:line="240" w:lineRule="auto" w:before="0" w:after="20"/>
              <w:jc w:val="center"/>
            </w:pPr>
            <w:r>
              <w:rPr>
                <w:rFonts w:ascii="Times New Roman" w:hAnsi="Times New Roman" w:eastAsia="Times New Roman" w:cs="Times New Roman"/>
                <w:color w:val="000000"/>
                <w:sz w:val="18"/>
              </w:rPr>
              <w:t>53.967 ± 3.051</w:t>
            </w:r>
          </w:p>
        </w:tc>
        <w:tc>
          <w:tcPr>
            <w:tcW w:w="1512" w:type="dxa"/>
            <w:tcBorders>
              <w:top w:val="nil"/>
              <w:left w:val="nil"/>
              <w:bottom w:val="nil"/>
              <w:right w:val="nil"/>
            </w:tcBorders>
            <w:vAlign w:val="center"/>
          </w:tcPr>
          <w:p w14:paraId="1F6A2532">
            <w:pPr>
              <w:spacing w:line="240" w:lineRule="auto" w:before="0" w:after="20"/>
              <w:jc w:val="center"/>
            </w:pPr>
            <w:r>
              <w:rPr>
                <w:rFonts w:ascii="Times New Roman" w:hAnsi="Times New Roman" w:eastAsia="Times New Roman" w:cs="Times New Roman"/>
                <w:color w:val="000000"/>
                <w:sz w:val="18"/>
              </w:rPr>
              <w:t>130.458 ± 0.425</w:t>
            </w:r>
          </w:p>
        </w:tc>
      </w:tr>
      <w:tr w14:paraId="52FE07DB">
        <w:tblPrEx>
          <w:tblCellMar>
            <w:top w:w="0" w:type="dxa"/>
            <w:left w:w="10" w:type="dxa"/>
            <w:bottom w:w="0" w:type="dxa"/>
            <w:right w:w="10" w:type="dxa"/>
          </w:tblCellMar>
        </w:tblPrEx>
        <w:tc>
          <w:tcPr>
            <w:tcW w:w="1512" w:type="dxa"/>
            <w:tcBorders>
              <w:top w:val="nil"/>
              <w:left w:val="nil"/>
              <w:bottom w:val="nil"/>
              <w:right w:val="nil"/>
            </w:tcBorders>
            <w:vAlign w:val="center"/>
          </w:tcPr>
          <w:p w14:paraId="69C38BDC">
            <w:pPr>
              <w:spacing w:line="240" w:lineRule="auto" w:before="0" w:after="20"/>
              <w:jc w:val="left"/>
            </w:pPr>
            <w:r>
              <w:rPr>
                <w:rFonts w:ascii="Times New Roman" w:hAnsi="Times New Roman" w:eastAsia="Times New Roman" w:cs="Times New Roman"/>
                <w:color w:val="000000"/>
                <w:sz w:val="18"/>
              </w:rPr>
              <w:t>+traj</w:t>
            </w:r>
          </w:p>
        </w:tc>
        <w:tc>
          <w:tcPr>
            <w:tcW w:w="1512" w:type="dxa"/>
            <w:tcBorders>
              <w:top w:val="nil"/>
              <w:left w:val="nil"/>
              <w:bottom w:val="nil"/>
              <w:right w:val="nil"/>
            </w:tcBorders>
            <w:vAlign w:val="center"/>
          </w:tcPr>
          <w:p w14:paraId="1316FBE8">
            <w:pPr>
              <w:spacing w:line="240" w:lineRule="auto" w:before="0" w:after="20"/>
              <w:jc w:val="center"/>
            </w:pPr>
            <w:r>
              <w:rPr>
                <w:rFonts w:ascii="Times New Roman" w:hAnsi="Times New Roman" w:eastAsia="Times New Roman" w:cs="Times New Roman"/>
                <w:color w:val="000000"/>
                <w:sz w:val="18"/>
              </w:rPr>
              <w:t>50.695 ± 1.557</w:t>
            </w:r>
          </w:p>
        </w:tc>
        <w:tc>
          <w:tcPr>
            <w:tcW w:w="1512" w:type="dxa"/>
            <w:tcBorders>
              <w:top w:val="nil"/>
              <w:left w:val="nil"/>
              <w:bottom w:val="nil"/>
              <w:right w:val="nil"/>
            </w:tcBorders>
            <w:vAlign w:val="center"/>
          </w:tcPr>
          <w:p w14:paraId="51055B82">
            <w:pPr>
              <w:spacing w:line="240" w:lineRule="auto" w:before="0" w:after="20"/>
              <w:jc w:val="center"/>
            </w:pPr>
            <w:r>
              <w:rPr>
                <w:rFonts w:ascii="Times New Roman" w:hAnsi="Times New Roman" w:eastAsia="Times New Roman" w:cs="Times New Roman"/>
                <w:color w:val="000000"/>
                <w:sz w:val="18"/>
              </w:rPr>
              <w:t>72.448 ± 0.135</w:t>
            </w:r>
          </w:p>
        </w:tc>
        <w:tc>
          <w:tcPr>
            <w:tcW w:w="1512" w:type="dxa"/>
            <w:tcBorders>
              <w:top w:val="nil"/>
              <w:left w:val="nil"/>
              <w:bottom w:val="nil"/>
              <w:right w:val="nil"/>
            </w:tcBorders>
            <w:vAlign w:val="center"/>
          </w:tcPr>
          <w:p w14:paraId="34DB9CDB">
            <w:pPr>
              <w:spacing w:line="240" w:lineRule="auto" w:before="0" w:after="20"/>
              <w:jc w:val="center"/>
            </w:pPr>
            <w:r>
              <w:rPr>
                <w:rFonts w:ascii="Times New Roman" w:hAnsi="Times New Roman" w:eastAsia="Times New Roman" w:cs="Times New Roman"/>
                <w:color w:val="000000"/>
                <w:sz w:val="18"/>
              </w:rPr>
              <w:t>37.332 ± 2.443</w:t>
            </w:r>
          </w:p>
        </w:tc>
        <w:tc>
          <w:tcPr>
            <w:tcW w:w="1512" w:type="dxa"/>
            <w:tcBorders>
              <w:top w:val="nil"/>
              <w:left w:val="nil"/>
              <w:bottom w:val="nil"/>
              <w:right w:val="nil"/>
            </w:tcBorders>
            <w:vAlign w:val="center"/>
          </w:tcPr>
          <w:p w14:paraId="26AF956C">
            <w:pPr>
              <w:spacing w:line="240" w:lineRule="auto" w:before="0" w:after="20"/>
              <w:jc w:val="center"/>
            </w:pPr>
            <w:r>
              <w:rPr>
                <w:rFonts w:ascii="Times New Roman" w:hAnsi="Times New Roman" w:eastAsia="Times New Roman" w:cs="Times New Roman"/>
                <w:color w:val="000000"/>
                <w:sz w:val="18"/>
              </w:rPr>
              <w:t>54.277 ± 1.996</w:t>
            </w:r>
          </w:p>
        </w:tc>
        <w:tc>
          <w:tcPr>
            <w:tcW w:w="1512" w:type="dxa"/>
            <w:tcBorders>
              <w:top w:val="nil"/>
              <w:left w:val="nil"/>
              <w:bottom w:val="nil"/>
              <w:right w:val="nil"/>
            </w:tcBorders>
            <w:vAlign w:val="center"/>
          </w:tcPr>
          <w:p w14:paraId="6131C1C9">
            <w:pPr>
              <w:spacing w:line="240" w:lineRule="auto" w:before="0" w:after="20"/>
              <w:jc w:val="center"/>
            </w:pPr>
            <w:r>
              <w:rPr>
                <w:rFonts w:ascii="Times New Roman" w:hAnsi="Times New Roman" w:eastAsia="Times New Roman" w:cs="Times New Roman"/>
                <w:color w:val="000000"/>
                <w:sz w:val="18"/>
              </w:rPr>
              <w:t>117.792 ± 0.680</w:t>
            </w:r>
          </w:p>
        </w:tc>
      </w:tr>
      <w:tr w14:paraId="28667B1B">
        <w:tblPrEx>
          <w:tblCellMar>
            <w:top w:w="0" w:type="dxa"/>
            <w:left w:w="10" w:type="dxa"/>
            <w:bottom w:w="0" w:type="dxa"/>
            <w:right w:w="10" w:type="dxa"/>
          </w:tblCellMar>
        </w:tblPrEx>
        <w:tc>
          <w:tcPr>
            <w:tcW w:w="1512" w:type="dxa"/>
            <w:tcBorders>
              <w:top w:val="nil"/>
              <w:left w:val="nil"/>
              <w:bottom w:val="single" w:color="000000" w:sz="8" w:space="0"/>
              <w:right w:val="nil"/>
            </w:tcBorders>
            <w:vAlign w:val="center"/>
          </w:tcPr>
          <w:p w14:paraId="2520B403">
            <w:pPr>
              <w:spacing w:line="240" w:lineRule="auto" w:before="0" w:after="20"/>
              <w:jc w:val="left"/>
            </w:pPr>
            <w:r>
              <w:rPr>
                <w:rFonts w:ascii="Times New Roman" w:hAnsi="Times New Roman" w:eastAsia="Times New Roman" w:cs="Times New Roman"/>
                <w:color w:val="000000"/>
                <w:sz w:val="18"/>
              </w:rPr>
              <w:t>+adaptive</w:t>
            </w:r>
          </w:p>
        </w:tc>
        <w:tc>
          <w:tcPr>
            <w:tcW w:w="1512" w:type="dxa"/>
            <w:tcBorders>
              <w:top w:val="nil"/>
              <w:left w:val="nil"/>
              <w:bottom w:val="single" w:color="000000" w:sz="8" w:space="0"/>
              <w:right w:val="nil"/>
            </w:tcBorders>
            <w:vAlign w:val="center"/>
          </w:tcPr>
          <w:p w14:paraId="6258976D">
            <w:pPr>
              <w:spacing w:line="240" w:lineRule="auto" w:before="0" w:after="20"/>
              <w:jc w:val="center"/>
            </w:pPr>
            <w:r>
              <w:rPr>
                <w:rFonts w:ascii="Times New Roman" w:hAnsi="Times New Roman" w:eastAsia="Times New Roman" w:cs="Times New Roman"/>
                <w:color w:val="000000"/>
                <w:sz w:val="18"/>
              </w:rPr>
              <w:t>51.071 ± 1.435</w:t>
            </w:r>
          </w:p>
        </w:tc>
        <w:tc>
          <w:tcPr>
            <w:tcW w:w="1512" w:type="dxa"/>
            <w:tcBorders>
              <w:top w:val="nil"/>
              <w:left w:val="nil"/>
              <w:bottom w:val="single" w:color="000000" w:sz="8" w:space="0"/>
              <w:right w:val="nil"/>
            </w:tcBorders>
            <w:vAlign w:val="center"/>
          </w:tcPr>
          <w:p w14:paraId="796BC06A">
            <w:pPr>
              <w:spacing w:line="240" w:lineRule="auto" w:before="0" w:after="20"/>
              <w:jc w:val="center"/>
            </w:pPr>
            <w:r>
              <w:rPr>
                <w:rFonts w:ascii="Times New Roman" w:hAnsi="Times New Roman" w:eastAsia="Times New Roman" w:cs="Times New Roman"/>
                <w:color w:val="000000"/>
                <w:sz w:val="18"/>
              </w:rPr>
              <w:t>72.538 ± 0.226</w:t>
            </w:r>
          </w:p>
        </w:tc>
        <w:tc>
          <w:tcPr>
            <w:tcW w:w="1512" w:type="dxa"/>
            <w:tcBorders>
              <w:top w:val="nil"/>
              <w:left w:val="nil"/>
              <w:bottom w:val="single" w:color="000000" w:sz="8" w:space="0"/>
              <w:right w:val="nil"/>
            </w:tcBorders>
            <w:vAlign w:val="center"/>
          </w:tcPr>
          <w:p w14:paraId="353D8924">
            <w:pPr>
              <w:spacing w:line="240" w:lineRule="auto" w:before="0" w:after="20"/>
              <w:jc w:val="center"/>
            </w:pPr>
            <w:r>
              <w:rPr>
                <w:rFonts w:ascii="Times New Roman" w:hAnsi="Times New Roman" w:eastAsia="Times New Roman" w:cs="Times New Roman"/>
                <w:color w:val="000000"/>
                <w:sz w:val="18"/>
              </w:rPr>
              <w:t>37.771 ± 2.167</w:t>
            </w:r>
          </w:p>
        </w:tc>
        <w:tc>
          <w:tcPr>
            <w:tcW w:w="1512" w:type="dxa"/>
            <w:tcBorders>
              <w:top w:val="nil"/>
              <w:left w:val="nil"/>
              <w:bottom w:val="single" w:color="000000" w:sz="8" w:space="0"/>
              <w:right w:val="nil"/>
            </w:tcBorders>
            <w:vAlign w:val="center"/>
          </w:tcPr>
          <w:p w14:paraId="058FC562">
            <w:pPr>
              <w:spacing w:line="240" w:lineRule="auto" w:before="0" w:after="20"/>
              <w:jc w:val="center"/>
            </w:pPr>
            <w:r>
              <w:rPr>
                <w:rFonts w:ascii="Times New Roman" w:hAnsi="Times New Roman" w:eastAsia="Times New Roman" w:cs="Times New Roman"/>
                <w:color w:val="000000"/>
                <w:sz w:val="18"/>
              </w:rPr>
              <w:t>54.667 ± 1.779</w:t>
            </w:r>
          </w:p>
        </w:tc>
        <w:tc>
          <w:tcPr>
            <w:tcW w:w="1512" w:type="dxa"/>
            <w:tcBorders>
              <w:top w:val="nil"/>
              <w:left w:val="nil"/>
              <w:bottom w:val="single" w:color="000000" w:sz="8" w:space="0"/>
              <w:right w:val="nil"/>
            </w:tcBorders>
            <w:vAlign w:val="center"/>
          </w:tcPr>
          <w:p w14:paraId="2F9BE6F6">
            <w:pPr>
              <w:spacing w:line="240" w:lineRule="auto" w:before="0" w:after="20"/>
              <w:jc w:val="center"/>
            </w:pPr>
            <w:r>
              <w:rPr>
                <w:rFonts w:ascii="Times New Roman" w:hAnsi="Times New Roman" w:eastAsia="Times New Roman" w:cs="Times New Roman"/>
                <w:color w:val="000000"/>
                <w:sz w:val="18"/>
              </w:rPr>
              <w:t>113.792 ± 0.257</w:t>
            </w:r>
          </w:p>
        </w:tc>
      </w:tr>
    </w:tbl>
    <w:p w14:paraId="669790F1">
      <w:pPr>
        <w:pStyle w:val="49"/>
        <w:keepNext/>
        <w:keepLines w:val="0"/>
        <w:widowControl/>
        <w:spacing w:before="160" w:after="40"/>
        <w:jc w:val="center"/>
      </w:pPr>
      <w:bookmarkStart w:id="28" w:name="fig:core_main_png"/>
      <w:r>
        <w:rPr>
          <w:rFonts w:ascii="Times New Roman" w:hAnsi="Times New Roman" w:eastAsia="Times New Roman" w:cs="Times New Roman"/>
          <w:color w:val="000000"/>
          <w:sz w:val="20"/>
        </w:rPr>
        <w:drawing>
          <wp:inline distT="0" distB="0" distL="114300" distR="114300">
            <wp:extent cx="4907280" cy="265504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07280" cy="2655042"/>
                    </a:xfrm>
                    <a:prstGeom prst="rect">
                      <a:avLst/>
                    </a:prstGeom>
                  </pic:spPr>
                </pic:pic>
              </a:graphicData>
            </a:graphic>
          </wp:inline>
        </w:drawing>
      </w:r>
    </w:p>
    <w:p w14:paraId="2984B50B">
      <w:pPr>
        <w:pStyle w:val="47"/>
        <w:keepNext w:val="0"/>
        <w:keepLines w:val="0"/>
        <w:widowControl/>
        <w:jc w:val="left"/>
      </w:pPr>
      <w:r>
        <w:rPr>
          <w:rFonts w:ascii="Times New Roman" w:hAnsi="Times New Roman" w:eastAsia="Times New Roman" w:cs="Times New Roman"/>
          <w:color w:val="000000"/>
          <w:sz w:val="20"/>
        </w:rPr>
        <w:t>Core method family comparison (mean±std).</w:t>
      </w:r>
    </w:p>
    <w:bookmarkEnd w:id="27"/>
    <w:bookmarkEnd w:id="28"/>
    <w:p w14:paraId="3F3439A9">
      <w:pPr>
        <w:pStyle w:val="4"/>
        <w:keepNext/>
        <w:keepLines w:val="0"/>
        <w:widowControl/>
        <w:jc w:val="left"/>
      </w:pPr>
      <w:bookmarkStart w:id="29" w:name="strong-baselines-and-combined-comparison"/>
      <w:r>
        <w:rPr>
          <w:rFonts w:ascii="Times New Roman" w:hAnsi="Times New Roman" w:eastAsia="Times New Roman" w:cs="Times New Roman"/>
          <w:b/>
          <w:color w:val="000000"/>
          <w:sz w:val="20"/>
        </w:rPr>
        <w:t>4.2 Strong baselines and combined comparison</w:t>
      </w:r>
    </w:p>
    <w:p w14:paraId="2018C7AD">
      <w:pPr>
        <w:pStyle w:val="25"/>
        <w:keepLines w:val="0"/>
        <w:widowControl/>
        <w:spacing w:line="276" w:lineRule="auto" w:before="0" w:after="80"/>
        <w:jc w:val="both"/>
      </w:pPr>
      <w:r>
        <w:rPr>
          <w:rFonts w:ascii="Times New Roman" w:hAnsi="Times New Roman" w:eastAsia="Times New Roman" w:cs="Times New Roman"/>
          <w:color w:val="000000"/>
          <w:sz w:val="20"/>
        </w:rPr>
        <w:t>Table and Fig. 2 answer RQ1 for strong baselines only. ByteTrack is the strongest among the three baselines on HOTA (58.431 ± 0.291) and IDF1 (64.011 ± 0.545) in this run.</w:t>
      </w:r>
    </w:p>
    <w:p w14:paraId="30FE5D45">
      <w:pPr>
        <w:pStyle w:val="3"/>
        <w:keepLines w:val="0"/>
        <w:widowControl/>
        <w:spacing w:line="276" w:lineRule="auto" w:before="0" w:after="80"/>
        <w:jc w:val="both"/>
        <w:rPr>
          <w:rFonts w:ascii="Times New Roman" w:hAnsi="Times New Roman"/>
          <w:b w:val="0"/>
          <w:i w:val="0"/>
          <w:sz w:val="20"/>
        </w:rPr>
      </w:pPr>
      <w:r>
        <w:rPr>
          <w:rFonts w:ascii="Times New Roman" w:hAnsi="Times New Roman" w:eastAsia="Times New Roman" w:cs="Times New Roman"/>
          <w:color w:val="000000"/>
          <w:sz w:val="20"/>
        </w:rPr>
        <w:t xml:space="preserve">To show fair side-by-side context, Table 3 and Fig. 3 combine all methods under one evaluation pipeline. ByteTrack exceeds Base by +0.199 HOTA, while Base has lower IDSW by 9.000 compared with ByteTrack. </w:t>
      </w:r>
      <w:r>
        <w:rPr>
          <w:rFonts w:ascii="Times New Roman" w:hAnsi="Times New Roman" w:eastAsia="Times New Roman" w:cs="Times New Roman"/>
          <w:b w:val="0"/>
          <w:i w:val="0"/>
          <w:color w:val="000000"/>
          <w:sz w:val="20"/>
        </w:rPr>
        <w:t>These results support a trade-off interpretation rather than a single-winner claim.</w:t>
      </w:r>
    </w:p>
    <w:tbl>
      <w:tblPr>
        <w:tblStyle w:val="19"/>
        <w:tblW w:w="0" w:type="auto"/>
        <w:jc w:val="center"/>
        <w:tblInd w:w="0" w:type="dxa"/>
        <w:tblLayout w:type="autofit"/>
        <w:tblCellMar>
          <w:top w:w="0" w:type="dxa"/>
          <w:left w:w="10" w:type="dxa"/>
          <w:bottom w:w="0" w:type="dxa"/>
          <w:right w:w="10" w:type="dxa"/>
        </w:tblCellMar>
      </w:tblPr>
      <w:tblGrid>
        <w:gridCol w:w="1509"/>
        <w:gridCol w:w="1507"/>
        <w:gridCol w:w="1507"/>
        <w:gridCol w:w="1507"/>
        <w:gridCol w:w="1507"/>
        <w:gridCol w:w="1509"/>
      </w:tblGrid>
      <w:tr w14:paraId="337B8E80">
        <w:tblPrEx>
          <w:tblCellMar>
            <w:top w:w="0" w:type="dxa"/>
            <w:left w:w="10" w:type="dxa"/>
            <w:bottom w:w="0" w:type="dxa"/>
            <w:right w:w="10" w:type="dxa"/>
          </w:tblCellMar>
        </w:tblPrEx>
        <w:tc>
          <w:tcPr>
            <w:tcW w:w="1512" w:type="dxa"/>
            <w:tcBorders>
              <w:top w:val="single" w:color="000000" w:sz="8" w:space="0"/>
              <w:left w:val="nil"/>
              <w:bottom w:val="single" w:color="000000" w:sz="6" w:space="0"/>
              <w:right w:val="nil"/>
            </w:tcBorders>
            <w:vAlign w:val="center"/>
          </w:tcPr>
          <w:p w14:paraId="43E4F80D">
            <w:pPr>
              <w:spacing w:line="240" w:lineRule="auto" w:before="0" w:after="20"/>
              <w:jc w:val="left"/>
            </w:pPr>
            <w:r>
              <w:rPr>
                <w:rFonts w:ascii="Times New Roman" w:hAnsi="Times New Roman" w:eastAsia="Times New Roman" w:cs="Times New Roman"/>
                <w:b/>
                <w:color w:val="000000"/>
                <w:sz w:val="18"/>
              </w:rPr>
              <w:t>Method</w:t>
            </w:r>
          </w:p>
        </w:tc>
        <w:tc>
          <w:tcPr>
            <w:tcW w:w="1512" w:type="dxa"/>
            <w:tcBorders>
              <w:top w:val="single" w:color="000000" w:sz="8" w:space="0"/>
              <w:left w:val="nil"/>
              <w:bottom w:val="single" w:color="000000" w:sz="6" w:space="0"/>
              <w:right w:val="nil"/>
            </w:tcBorders>
            <w:vAlign w:val="center"/>
          </w:tcPr>
          <w:p w14:paraId="6BA7D42C">
            <w:pPr>
              <w:spacing w:line="240" w:lineRule="auto" w:before="0" w:after="20"/>
              <w:jc w:val="center"/>
            </w:pPr>
            <w:r>
              <w:rPr>
                <w:rFonts w:ascii="Times New Roman" w:hAnsi="Times New Roman" w:eastAsia="Times New Roman" w:cs="Times New Roman"/>
                <w:b/>
                <w:color w:val="000000"/>
                <w:sz w:val="18"/>
              </w:rPr>
              <w:t>HOTA</w:t>
            </w:r>
          </w:p>
        </w:tc>
        <w:tc>
          <w:tcPr>
            <w:tcW w:w="1512" w:type="dxa"/>
            <w:tcBorders>
              <w:top w:val="single" w:color="000000" w:sz="8" w:space="0"/>
              <w:left w:val="nil"/>
              <w:bottom w:val="single" w:color="000000" w:sz="6" w:space="0"/>
              <w:right w:val="nil"/>
            </w:tcBorders>
            <w:vAlign w:val="center"/>
          </w:tcPr>
          <w:p w14:paraId="310AA7B4">
            <w:pPr>
              <w:spacing w:line="240" w:lineRule="auto" w:before="0" w:after="20"/>
              <w:jc w:val="center"/>
            </w:pPr>
            <w:r>
              <w:rPr>
                <w:rFonts w:ascii="Times New Roman" w:hAnsi="Times New Roman" w:eastAsia="Times New Roman" w:cs="Times New Roman"/>
                <w:b/>
                <w:color w:val="000000"/>
                <w:sz w:val="18"/>
              </w:rPr>
              <w:t>DetA</w:t>
            </w:r>
          </w:p>
        </w:tc>
        <w:tc>
          <w:tcPr>
            <w:tcW w:w="1512" w:type="dxa"/>
            <w:tcBorders>
              <w:top w:val="single" w:color="000000" w:sz="8" w:space="0"/>
              <w:left w:val="nil"/>
              <w:bottom w:val="single" w:color="000000" w:sz="6" w:space="0"/>
              <w:right w:val="nil"/>
            </w:tcBorders>
            <w:vAlign w:val="center"/>
          </w:tcPr>
          <w:p w14:paraId="2CFA9A0D">
            <w:pPr>
              <w:spacing w:line="240" w:lineRule="auto" w:before="0" w:after="20"/>
              <w:jc w:val="center"/>
            </w:pPr>
            <w:r>
              <w:rPr>
                <w:rFonts w:ascii="Times New Roman" w:hAnsi="Times New Roman" w:eastAsia="Times New Roman" w:cs="Times New Roman"/>
                <w:b/>
                <w:color w:val="000000"/>
                <w:sz w:val="18"/>
              </w:rPr>
              <w:t>AssA</w:t>
            </w:r>
          </w:p>
        </w:tc>
        <w:tc>
          <w:tcPr>
            <w:tcW w:w="1512" w:type="dxa"/>
            <w:tcBorders>
              <w:top w:val="single" w:color="000000" w:sz="8" w:space="0"/>
              <w:left w:val="nil"/>
              <w:bottom w:val="single" w:color="000000" w:sz="6" w:space="0"/>
              <w:right w:val="nil"/>
            </w:tcBorders>
            <w:vAlign w:val="center"/>
          </w:tcPr>
          <w:p w14:paraId="42BDB6A5">
            <w:pPr>
              <w:spacing w:line="240" w:lineRule="auto" w:before="0" w:after="20"/>
              <w:jc w:val="center"/>
            </w:pPr>
            <w:r>
              <w:rPr>
                <w:rFonts w:ascii="Times New Roman" w:hAnsi="Times New Roman" w:eastAsia="Times New Roman" w:cs="Times New Roman"/>
                <w:b/>
                <w:color w:val="000000"/>
                <w:sz w:val="18"/>
              </w:rPr>
              <w:t>IDF1</w:t>
            </w:r>
          </w:p>
        </w:tc>
        <w:tc>
          <w:tcPr>
            <w:tcW w:w="1512" w:type="dxa"/>
            <w:tcBorders>
              <w:top w:val="single" w:color="000000" w:sz="8" w:space="0"/>
              <w:left w:val="nil"/>
              <w:bottom w:val="single" w:color="000000" w:sz="6" w:space="0"/>
              <w:right w:val="nil"/>
            </w:tcBorders>
            <w:vAlign w:val="center"/>
          </w:tcPr>
          <w:p w14:paraId="4CE30AA3">
            <w:pPr>
              <w:spacing w:line="240" w:lineRule="auto" w:before="0" w:after="20"/>
              <w:jc w:val="center"/>
            </w:pPr>
            <w:r>
              <w:rPr>
                <w:rFonts w:ascii="Times New Roman" w:hAnsi="Times New Roman" w:eastAsia="Times New Roman" w:cs="Times New Roman"/>
                <w:b/>
                <w:color w:val="000000"/>
                <w:sz w:val="18"/>
              </w:rPr>
              <w:t>IDSW</w:t>
            </w:r>
          </w:p>
        </w:tc>
      </w:tr>
      <w:tr w14:paraId="22EE3AF6">
        <w:tblPrEx>
          <w:tblCellMar>
            <w:top w:w="0" w:type="dxa"/>
            <w:left w:w="10" w:type="dxa"/>
            <w:bottom w:w="0" w:type="dxa"/>
            <w:right w:w="10" w:type="dxa"/>
          </w:tblCellMar>
        </w:tblPrEx>
        <w:tc>
          <w:tcPr>
            <w:tcW w:w="1512" w:type="dxa"/>
            <w:tcBorders>
              <w:top w:val="nil"/>
              <w:left w:val="nil"/>
              <w:bottom w:val="nil"/>
              <w:right w:val="nil"/>
            </w:tcBorders>
            <w:vAlign w:val="center"/>
          </w:tcPr>
          <w:p w14:paraId="43239F56">
            <w:pPr>
              <w:spacing w:line="240" w:lineRule="auto" w:before="0" w:after="20"/>
              <w:jc w:val="left"/>
            </w:pPr>
            <w:r>
              <w:rPr>
                <w:rFonts w:ascii="Times New Roman" w:hAnsi="Times New Roman" w:eastAsia="Times New Roman" w:cs="Times New Roman"/>
                <w:color w:val="000000"/>
                <w:sz w:val="18"/>
              </w:rPr>
              <w:t>ByteTrack</w:t>
            </w:r>
          </w:p>
        </w:tc>
        <w:tc>
          <w:tcPr>
            <w:tcW w:w="1512" w:type="dxa"/>
            <w:tcBorders>
              <w:top w:val="nil"/>
              <w:left w:val="nil"/>
              <w:bottom w:val="nil"/>
              <w:right w:val="nil"/>
            </w:tcBorders>
            <w:vAlign w:val="center"/>
          </w:tcPr>
          <w:p w14:paraId="1F41BE00">
            <w:pPr>
              <w:spacing w:line="240" w:lineRule="auto" w:before="0" w:after="20"/>
              <w:jc w:val="center"/>
            </w:pPr>
            <w:r>
              <w:rPr>
                <w:rFonts w:ascii="Times New Roman" w:hAnsi="Times New Roman" w:eastAsia="Times New Roman" w:cs="Times New Roman"/>
                <w:color w:val="000000"/>
                <w:sz w:val="18"/>
              </w:rPr>
              <w:t>58.431 ± 0.291</w:t>
            </w:r>
          </w:p>
        </w:tc>
        <w:tc>
          <w:tcPr>
            <w:tcW w:w="1512" w:type="dxa"/>
            <w:tcBorders>
              <w:top w:val="nil"/>
              <w:left w:val="nil"/>
              <w:bottom w:val="nil"/>
              <w:right w:val="nil"/>
            </w:tcBorders>
            <w:vAlign w:val="center"/>
          </w:tcPr>
          <w:p w14:paraId="4E28D342">
            <w:pPr>
              <w:spacing w:line="240" w:lineRule="auto" w:before="0" w:after="20"/>
              <w:jc w:val="center"/>
            </w:pPr>
            <w:r>
              <w:rPr>
                <w:rFonts w:ascii="Times New Roman" w:hAnsi="Times New Roman" w:eastAsia="Times New Roman" w:cs="Times New Roman"/>
                <w:color w:val="000000"/>
                <w:sz w:val="18"/>
              </w:rPr>
              <w:t>73.858 ± 0.015</w:t>
            </w:r>
          </w:p>
        </w:tc>
        <w:tc>
          <w:tcPr>
            <w:tcW w:w="1512" w:type="dxa"/>
            <w:tcBorders>
              <w:top w:val="nil"/>
              <w:left w:val="nil"/>
              <w:bottom w:val="nil"/>
              <w:right w:val="nil"/>
            </w:tcBorders>
            <w:vAlign w:val="center"/>
          </w:tcPr>
          <w:p w14:paraId="296ACFAB">
            <w:pPr>
              <w:spacing w:line="240" w:lineRule="auto" w:before="0" w:after="20"/>
              <w:jc w:val="center"/>
            </w:pPr>
            <w:r>
              <w:rPr>
                <w:rFonts w:ascii="Times New Roman" w:hAnsi="Times New Roman" w:eastAsia="Times New Roman" w:cs="Times New Roman"/>
                <w:color w:val="000000"/>
                <w:sz w:val="18"/>
              </w:rPr>
              <w:t>48.049 ± 0.569</w:t>
            </w:r>
          </w:p>
        </w:tc>
        <w:tc>
          <w:tcPr>
            <w:tcW w:w="1512" w:type="dxa"/>
            <w:tcBorders>
              <w:top w:val="nil"/>
              <w:left w:val="nil"/>
              <w:bottom w:val="nil"/>
              <w:right w:val="nil"/>
            </w:tcBorders>
            <w:vAlign w:val="center"/>
          </w:tcPr>
          <w:p w14:paraId="4850241D">
            <w:pPr>
              <w:spacing w:line="240" w:lineRule="auto" w:before="0" w:after="20"/>
              <w:jc w:val="center"/>
            </w:pPr>
            <w:r>
              <w:rPr>
                <w:rFonts w:ascii="Times New Roman" w:hAnsi="Times New Roman" w:eastAsia="Times New Roman" w:cs="Times New Roman"/>
                <w:color w:val="000000"/>
                <w:sz w:val="18"/>
              </w:rPr>
              <w:t>64.011 ± 0.545</w:t>
            </w:r>
          </w:p>
        </w:tc>
        <w:tc>
          <w:tcPr>
            <w:tcW w:w="1512" w:type="dxa"/>
            <w:tcBorders>
              <w:top w:val="nil"/>
              <w:left w:val="nil"/>
              <w:bottom w:val="nil"/>
              <w:right w:val="nil"/>
            </w:tcBorders>
            <w:vAlign w:val="center"/>
          </w:tcPr>
          <w:p w14:paraId="7F627020">
            <w:pPr>
              <w:spacing w:line="240" w:lineRule="auto" w:before="0" w:after="20"/>
              <w:jc w:val="center"/>
            </w:pPr>
            <w:r>
              <w:rPr>
                <w:rFonts w:ascii="Times New Roman" w:hAnsi="Times New Roman" w:eastAsia="Times New Roman" w:cs="Times New Roman"/>
                <w:color w:val="000000"/>
                <w:sz w:val="18"/>
              </w:rPr>
              <w:t>88.375 ± 0.872</w:t>
            </w:r>
          </w:p>
        </w:tc>
      </w:tr>
      <w:tr w14:paraId="61B301C3">
        <w:tblPrEx>
          <w:tblCellMar>
            <w:top w:w="0" w:type="dxa"/>
            <w:left w:w="10" w:type="dxa"/>
            <w:bottom w:w="0" w:type="dxa"/>
            <w:right w:w="10" w:type="dxa"/>
          </w:tblCellMar>
        </w:tblPrEx>
        <w:tc>
          <w:tcPr>
            <w:tcW w:w="1512" w:type="dxa"/>
            <w:tcBorders>
              <w:top w:val="nil"/>
              <w:left w:val="nil"/>
              <w:bottom w:val="nil"/>
              <w:right w:val="nil"/>
            </w:tcBorders>
            <w:vAlign w:val="center"/>
          </w:tcPr>
          <w:p w14:paraId="655C823B">
            <w:pPr>
              <w:spacing w:line="240" w:lineRule="auto" w:before="0" w:after="20"/>
              <w:jc w:val="left"/>
            </w:pPr>
            <w:r>
              <w:rPr>
                <w:rFonts w:ascii="Times New Roman" w:hAnsi="Times New Roman" w:eastAsia="Times New Roman" w:cs="Times New Roman"/>
                <w:color w:val="000000"/>
                <w:sz w:val="18"/>
              </w:rPr>
              <w:t>OC-SORT</w:t>
            </w:r>
          </w:p>
        </w:tc>
        <w:tc>
          <w:tcPr>
            <w:tcW w:w="1512" w:type="dxa"/>
            <w:tcBorders>
              <w:top w:val="nil"/>
              <w:left w:val="nil"/>
              <w:bottom w:val="nil"/>
              <w:right w:val="nil"/>
            </w:tcBorders>
            <w:vAlign w:val="center"/>
          </w:tcPr>
          <w:p w14:paraId="0747932C">
            <w:pPr>
              <w:spacing w:line="240" w:lineRule="auto" w:before="0" w:after="20"/>
              <w:jc w:val="center"/>
            </w:pPr>
            <w:r>
              <w:rPr>
                <w:rFonts w:ascii="Times New Roman" w:hAnsi="Times New Roman" w:eastAsia="Times New Roman" w:cs="Times New Roman"/>
                <w:color w:val="000000"/>
                <w:sz w:val="18"/>
              </w:rPr>
              <w:t>49.732 ± 1.619</w:t>
            </w:r>
          </w:p>
        </w:tc>
        <w:tc>
          <w:tcPr>
            <w:tcW w:w="1512" w:type="dxa"/>
            <w:tcBorders>
              <w:top w:val="nil"/>
              <w:left w:val="nil"/>
              <w:bottom w:val="nil"/>
              <w:right w:val="nil"/>
            </w:tcBorders>
            <w:vAlign w:val="center"/>
          </w:tcPr>
          <w:p w14:paraId="448B3B1A">
            <w:pPr>
              <w:spacing w:line="240" w:lineRule="auto" w:before="0" w:after="20"/>
              <w:jc w:val="center"/>
            </w:pPr>
            <w:r>
              <w:rPr>
                <w:rFonts w:ascii="Times New Roman" w:hAnsi="Times New Roman" w:eastAsia="Times New Roman" w:cs="Times New Roman"/>
                <w:color w:val="000000"/>
                <w:sz w:val="18"/>
              </w:rPr>
              <w:t>73.985 ± 0.135</w:t>
            </w:r>
          </w:p>
        </w:tc>
        <w:tc>
          <w:tcPr>
            <w:tcW w:w="1512" w:type="dxa"/>
            <w:tcBorders>
              <w:top w:val="nil"/>
              <w:left w:val="nil"/>
              <w:bottom w:val="nil"/>
              <w:right w:val="nil"/>
            </w:tcBorders>
            <w:vAlign w:val="center"/>
          </w:tcPr>
          <w:p w14:paraId="7D5DBB2A">
            <w:pPr>
              <w:spacing w:line="240" w:lineRule="auto" w:before="0" w:after="20"/>
              <w:jc w:val="center"/>
            </w:pPr>
            <w:r>
              <w:rPr>
                <w:rFonts w:ascii="Times New Roman" w:hAnsi="Times New Roman" w:eastAsia="Times New Roman" w:cs="Times New Roman"/>
                <w:color w:val="000000"/>
                <w:sz w:val="18"/>
              </w:rPr>
              <w:t>35.605 ± 2.352</w:t>
            </w:r>
          </w:p>
        </w:tc>
        <w:tc>
          <w:tcPr>
            <w:tcW w:w="1512" w:type="dxa"/>
            <w:tcBorders>
              <w:top w:val="nil"/>
              <w:left w:val="nil"/>
              <w:bottom w:val="nil"/>
              <w:right w:val="nil"/>
            </w:tcBorders>
            <w:vAlign w:val="center"/>
          </w:tcPr>
          <w:p w14:paraId="2DF6FE37">
            <w:pPr>
              <w:spacing w:line="240" w:lineRule="auto" w:before="0" w:after="20"/>
              <w:jc w:val="center"/>
            </w:pPr>
            <w:r>
              <w:rPr>
                <w:rFonts w:ascii="Times New Roman" w:hAnsi="Times New Roman" w:eastAsia="Times New Roman" w:cs="Times New Roman"/>
                <w:color w:val="000000"/>
                <w:sz w:val="18"/>
              </w:rPr>
              <w:t>52.631 ± 2.057</w:t>
            </w:r>
          </w:p>
        </w:tc>
        <w:tc>
          <w:tcPr>
            <w:tcW w:w="1512" w:type="dxa"/>
            <w:tcBorders>
              <w:top w:val="nil"/>
              <w:left w:val="nil"/>
              <w:bottom w:val="nil"/>
              <w:right w:val="nil"/>
            </w:tcBorders>
            <w:vAlign w:val="center"/>
          </w:tcPr>
          <w:p w14:paraId="45E51D48">
            <w:pPr>
              <w:spacing w:line="240" w:lineRule="auto" w:before="0" w:after="20"/>
              <w:jc w:val="center"/>
            </w:pPr>
            <w:r>
              <w:rPr>
                <w:rFonts w:ascii="Times New Roman" w:hAnsi="Times New Roman" w:eastAsia="Times New Roman" w:cs="Times New Roman"/>
                <w:color w:val="000000"/>
                <w:sz w:val="18"/>
              </w:rPr>
              <w:t>145.875 ± 1.643</w:t>
            </w:r>
          </w:p>
        </w:tc>
      </w:tr>
      <w:tr w14:paraId="7792D117">
        <w:tblPrEx>
          <w:tblCellMar>
            <w:top w:w="0" w:type="dxa"/>
            <w:left w:w="10" w:type="dxa"/>
            <w:bottom w:w="0" w:type="dxa"/>
            <w:right w:w="10" w:type="dxa"/>
          </w:tblCellMar>
        </w:tblPrEx>
        <w:tc>
          <w:tcPr>
            <w:tcW w:w="1512" w:type="dxa"/>
            <w:tcBorders>
              <w:top w:val="nil"/>
              <w:left w:val="nil"/>
              <w:bottom w:val="single" w:color="000000" w:sz="8" w:space="0"/>
              <w:right w:val="nil"/>
            </w:tcBorders>
            <w:vAlign w:val="center"/>
          </w:tcPr>
          <w:p w14:paraId="1857E739">
            <w:pPr>
              <w:spacing w:line="240" w:lineRule="auto" w:before="0" w:after="20"/>
              <w:jc w:val="left"/>
            </w:pPr>
            <w:r>
              <w:rPr>
                <w:rFonts w:ascii="Times New Roman" w:hAnsi="Times New Roman" w:eastAsia="Times New Roman" w:cs="Times New Roman"/>
                <w:color w:val="000000"/>
                <w:sz w:val="18"/>
              </w:rPr>
              <w:t>BoT-SORT</w:t>
            </w:r>
          </w:p>
        </w:tc>
        <w:tc>
          <w:tcPr>
            <w:tcW w:w="1512" w:type="dxa"/>
            <w:tcBorders>
              <w:top w:val="nil"/>
              <w:left w:val="nil"/>
              <w:bottom w:val="single" w:color="000000" w:sz="8" w:space="0"/>
              <w:right w:val="nil"/>
            </w:tcBorders>
            <w:vAlign w:val="center"/>
          </w:tcPr>
          <w:p w14:paraId="2F882045">
            <w:pPr>
              <w:spacing w:line="240" w:lineRule="auto" w:before="0" w:after="20"/>
              <w:jc w:val="center"/>
            </w:pPr>
            <w:r>
              <w:rPr>
                <w:rFonts w:ascii="Times New Roman" w:hAnsi="Times New Roman" w:eastAsia="Times New Roman" w:cs="Times New Roman"/>
                <w:color w:val="000000"/>
                <w:sz w:val="18"/>
              </w:rPr>
              <w:t>50.414 ± 0.981</w:t>
            </w:r>
          </w:p>
        </w:tc>
        <w:tc>
          <w:tcPr>
            <w:tcW w:w="1512" w:type="dxa"/>
            <w:tcBorders>
              <w:top w:val="nil"/>
              <w:left w:val="nil"/>
              <w:bottom w:val="single" w:color="000000" w:sz="8" w:space="0"/>
              <w:right w:val="nil"/>
            </w:tcBorders>
            <w:vAlign w:val="center"/>
          </w:tcPr>
          <w:p w14:paraId="0CCF4FBE">
            <w:pPr>
              <w:spacing w:line="240" w:lineRule="auto" w:before="0" w:after="20"/>
              <w:jc w:val="center"/>
            </w:pPr>
            <w:r>
              <w:rPr>
                <w:rFonts w:ascii="Times New Roman" w:hAnsi="Times New Roman" w:eastAsia="Times New Roman" w:cs="Times New Roman"/>
                <w:color w:val="000000"/>
                <w:sz w:val="18"/>
              </w:rPr>
              <w:t>73.426 ± 0.087</w:t>
            </w:r>
          </w:p>
        </w:tc>
        <w:tc>
          <w:tcPr>
            <w:tcW w:w="1512" w:type="dxa"/>
            <w:tcBorders>
              <w:top w:val="nil"/>
              <w:left w:val="nil"/>
              <w:bottom w:val="single" w:color="000000" w:sz="8" w:space="0"/>
              <w:right w:val="nil"/>
            </w:tcBorders>
            <w:vAlign w:val="center"/>
          </w:tcPr>
          <w:p w14:paraId="01CC0A96">
            <w:pPr>
              <w:spacing w:line="240" w:lineRule="auto" w:before="0" w:after="20"/>
              <w:jc w:val="center"/>
            </w:pPr>
            <w:r>
              <w:rPr>
                <w:rFonts w:ascii="Times New Roman" w:hAnsi="Times New Roman" w:eastAsia="Times New Roman" w:cs="Times New Roman"/>
                <w:color w:val="000000"/>
                <w:sz w:val="18"/>
              </w:rPr>
              <w:t>36.214 ± 1.425</w:t>
            </w:r>
          </w:p>
        </w:tc>
        <w:tc>
          <w:tcPr>
            <w:tcW w:w="1512" w:type="dxa"/>
            <w:tcBorders>
              <w:top w:val="nil"/>
              <w:left w:val="nil"/>
              <w:bottom w:val="single" w:color="000000" w:sz="8" w:space="0"/>
              <w:right w:val="nil"/>
            </w:tcBorders>
            <w:vAlign w:val="center"/>
          </w:tcPr>
          <w:p w14:paraId="12D1CC63">
            <w:pPr>
              <w:spacing w:line="240" w:lineRule="auto" w:before="0" w:after="20"/>
              <w:jc w:val="center"/>
            </w:pPr>
            <w:r>
              <w:rPr>
                <w:rFonts w:ascii="Times New Roman" w:hAnsi="Times New Roman" w:eastAsia="Times New Roman" w:cs="Times New Roman"/>
                <w:color w:val="000000"/>
                <w:sz w:val="18"/>
              </w:rPr>
              <w:t>53.412 ± 1.047</w:t>
            </w:r>
          </w:p>
        </w:tc>
        <w:tc>
          <w:tcPr>
            <w:tcW w:w="1512" w:type="dxa"/>
            <w:tcBorders>
              <w:top w:val="nil"/>
              <w:left w:val="nil"/>
              <w:bottom w:val="single" w:color="000000" w:sz="8" w:space="0"/>
              <w:right w:val="nil"/>
            </w:tcBorders>
            <w:vAlign w:val="center"/>
          </w:tcPr>
          <w:p w14:paraId="2025EBBA">
            <w:pPr>
              <w:spacing w:line="240" w:lineRule="auto" w:before="0" w:after="20"/>
              <w:jc w:val="center"/>
            </w:pPr>
            <w:r>
              <w:rPr>
                <w:rFonts w:ascii="Times New Roman" w:hAnsi="Times New Roman" w:eastAsia="Times New Roman" w:cs="Times New Roman"/>
                <w:color w:val="000000"/>
                <w:sz w:val="18"/>
              </w:rPr>
              <w:t>121.000 ± 4.056</w:t>
            </w:r>
          </w:p>
        </w:tc>
      </w:tr>
    </w:tbl>
    <w:p w14:paraId="1C61E692">
      <w:pPr>
        <w:pStyle w:val="49"/>
        <w:keepNext/>
        <w:keepLines w:val="0"/>
        <w:widowControl/>
        <w:spacing w:before="160" w:after="40"/>
        <w:jc w:val="center"/>
      </w:pPr>
      <w:bookmarkStart w:id="30" w:name="fig:strong_png"/>
      <w:r>
        <w:rPr>
          <w:rFonts w:ascii="Times New Roman" w:hAnsi="Times New Roman" w:eastAsia="Times New Roman" w:cs="Times New Roman"/>
          <w:color w:val="000000"/>
          <w:sz w:val="20"/>
        </w:rPr>
        <w:drawing>
          <wp:inline distT="0" distB="0" distL="114300" distR="114300">
            <wp:extent cx="4907280" cy="2655042"/>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907280" cy="2655042"/>
                    </a:xfrm>
                    <a:prstGeom prst="rect">
                      <a:avLst/>
                    </a:prstGeom>
                  </pic:spPr>
                </pic:pic>
              </a:graphicData>
            </a:graphic>
          </wp:inline>
        </w:drawing>
      </w:r>
    </w:p>
    <w:p w14:paraId="3CA71141">
      <w:pPr>
        <w:pStyle w:val="47"/>
        <w:keepNext w:val="0"/>
        <w:keepLines w:val="0"/>
        <w:widowControl/>
        <w:jc w:val="left"/>
      </w:pPr>
      <w:r>
        <w:rPr>
          <w:rFonts w:ascii="Times New Roman" w:hAnsi="Times New Roman" w:eastAsia="Times New Roman" w:cs="Times New Roman"/>
          <w:color w:val="000000"/>
          <w:sz w:val="20"/>
        </w:rPr>
        <w:t>Strong baseline comparison (ByteTrack/OC-SORT/BoT-SORT).</w:t>
      </w:r>
    </w:p>
    <w:bookmarkEnd w:id="30"/>
    <w:tbl>
      <w:tblPr>
        <w:tblStyle w:val="19"/>
        <w:tblW w:w="0" w:type="auto"/>
        <w:jc w:val="center"/>
        <w:tblInd w:w="0" w:type="dxa"/>
        <w:tblLayout w:type="autofit"/>
        <w:tblCellMar>
          <w:top w:w="0" w:type="dxa"/>
          <w:left w:w="10" w:type="dxa"/>
          <w:bottom w:w="0" w:type="dxa"/>
          <w:right w:w="10" w:type="dxa"/>
        </w:tblCellMar>
      </w:tblPr>
      <w:tblGrid>
        <w:gridCol w:w="1509"/>
        <w:gridCol w:w="1507"/>
        <w:gridCol w:w="1507"/>
        <w:gridCol w:w="1507"/>
        <w:gridCol w:w="1507"/>
        <w:gridCol w:w="1509"/>
      </w:tblGrid>
      <w:tr w14:paraId="22F04E1D">
        <w:tblPrEx>
          <w:tblCellMar>
            <w:top w:w="0" w:type="dxa"/>
            <w:left w:w="10" w:type="dxa"/>
            <w:bottom w:w="0" w:type="dxa"/>
            <w:right w:w="10" w:type="dxa"/>
          </w:tblCellMar>
        </w:tblPrEx>
        <w:tc>
          <w:tcPr>
            <w:tcW w:w="1512" w:type="dxa"/>
            <w:tcBorders>
              <w:top w:val="single" w:color="000000" w:sz="8" w:space="0"/>
              <w:left w:val="nil"/>
              <w:bottom w:val="single" w:color="000000" w:sz="6" w:space="0"/>
              <w:right w:val="nil"/>
            </w:tcBorders>
            <w:vAlign w:val="center"/>
          </w:tcPr>
          <w:p w14:paraId="1319EF2D">
            <w:pPr>
              <w:spacing w:line="240" w:lineRule="auto" w:before="0" w:after="20"/>
              <w:jc w:val="left"/>
            </w:pPr>
            <w:r>
              <w:rPr>
                <w:rFonts w:ascii="Times New Roman" w:hAnsi="Times New Roman" w:eastAsia="Times New Roman" w:cs="Times New Roman"/>
                <w:b/>
                <w:color w:val="000000"/>
                <w:sz w:val="18"/>
              </w:rPr>
              <w:t>Method</w:t>
            </w:r>
          </w:p>
        </w:tc>
        <w:tc>
          <w:tcPr>
            <w:tcW w:w="1512" w:type="dxa"/>
            <w:tcBorders>
              <w:top w:val="single" w:color="000000" w:sz="8" w:space="0"/>
              <w:left w:val="nil"/>
              <w:bottom w:val="single" w:color="000000" w:sz="6" w:space="0"/>
              <w:right w:val="nil"/>
            </w:tcBorders>
            <w:vAlign w:val="center"/>
          </w:tcPr>
          <w:p w14:paraId="56DEA025">
            <w:pPr>
              <w:spacing w:line="240" w:lineRule="auto" w:before="0" w:after="20"/>
              <w:jc w:val="center"/>
            </w:pPr>
            <w:r>
              <w:rPr>
                <w:rFonts w:ascii="Times New Roman" w:hAnsi="Times New Roman" w:eastAsia="Times New Roman" w:cs="Times New Roman"/>
                <w:b/>
                <w:color w:val="000000"/>
                <w:sz w:val="18"/>
              </w:rPr>
              <w:t>HOTA</w:t>
            </w:r>
          </w:p>
        </w:tc>
        <w:tc>
          <w:tcPr>
            <w:tcW w:w="1512" w:type="dxa"/>
            <w:tcBorders>
              <w:top w:val="single" w:color="000000" w:sz="8" w:space="0"/>
              <w:left w:val="nil"/>
              <w:bottom w:val="single" w:color="000000" w:sz="6" w:space="0"/>
              <w:right w:val="nil"/>
            </w:tcBorders>
            <w:vAlign w:val="center"/>
          </w:tcPr>
          <w:p w14:paraId="0D79D0FE">
            <w:pPr>
              <w:spacing w:line="240" w:lineRule="auto" w:before="0" w:after="20"/>
              <w:jc w:val="center"/>
            </w:pPr>
            <w:r>
              <w:rPr>
                <w:rFonts w:ascii="Times New Roman" w:hAnsi="Times New Roman" w:eastAsia="Times New Roman" w:cs="Times New Roman"/>
                <w:b/>
                <w:color w:val="000000"/>
                <w:sz w:val="18"/>
              </w:rPr>
              <w:t>DetA</w:t>
            </w:r>
          </w:p>
        </w:tc>
        <w:tc>
          <w:tcPr>
            <w:tcW w:w="1512" w:type="dxa"/>
            <w:tcBorders>
              <w:top w:val="single" w:color="000000" w:sz="8" w:space="0"/>
              <w:left w:val="nil"/>
              <w:bottom w:val="single" w:color="000000" w:sz="6" w:space="0"/>
              <w:right w:val="nil"/>
            </w:tcBorders>
            <w:vAlign w:val="center"/>
          </w:tcPr>
          <w:p w14:paraId="277B6AC1">
            <w:pPr>
              <w:spacing w:line="240" w:lineRule="auto" w:before="0" w:after="20"/>
              <w:jc w:val="center"/>
            </w:pPr>
            <w:r>
              <w:rPr>
                <w:rFonts w:ascii="Times New Roman" w:hAnsi="Times New Roman" w:eastAsia="Times New Roman" w:cs="Times New Roman"/>
                <w:b/>
                <w:color w:val="000000"/>
                <w:sz w:val="18"/>
              </w:rPr>
              <w:t>AssA</w:t>
            </w:r>
          </w:p>
        </w:tc>
        <w:tc>
          <w:tcPr>
            <w:tcW w:w="1512" w:type="dxa"/>
            <w:tcBorders>
              <w:top w:val="single" w:color="000000" w:sz="8" w:space="0"/>
              <w:left w:val="nil"/>
              <w:bottom w:val="single" w:color="000000" w:sz="6" w:space="0"/>
              <w:right w:val="nil"/>
            </w:tcBorders>
            <w:vAlign w:val="center"/>
          </w:tcPr>
          <w:p w14:paraId="2C5F5F6F">
            <w:pPr>
              <w:spacing w:line="240" w:lineRule="auto" w:before="0" w:after="20"/>
              <w:jc w:val="center"/>
            </w:pPr>
            <w:r>
              <w:rPr>
                <w:rFonts w:ascii="Times New Roman" w:hAnsi="Times New Roman" w:eastAsia="Times New Roman" w:cs="Times New Roman"/>
                <w:b/>
                <w:color w:val="000000"/>
                <w:sz w:val="18"/>
              </w:rPr>
              <w:t>IDF1</w:t>
            </w:r>
          </w:p>
        </w:tc>
        <w:tc>
          <w:tcPr>
            <w:tcW w:w="1512" w:type="dxa"/>
            <w:tcBorders>
              <w:top w:val="single" w:color="000000" w:sz="8" w:space="0"/>
              <w:left w:val="nil"/>
              <w:bottom w:val="single" w:color="000000" w:sz="6" w:space="0"/>
              <w:right w:val="nil"/>
            </w:tcBorders>
            <w:vAlign w:val="center"/>
          </w:tcPr>
          <w:p w14:paraId="06E1A40A">
            <w:pPr>
              <w:spacing w:line="240" w:lineRule="auto" w:before="0" w:after="20"/>
              <w:jc w:val="center"/>
            </w:pPr>
            <w:r>
              <w:rPr>
                <w:rFonts w:ascii="Times New Roman" w:hAnsi="Times New Roman" w:eastAsia="Times New Roman" w:cs="Times New Roman"/>
                <w:b/>
                <w:color w:val="000000"/>
                <w:sz w:val="18"/>
              </w:rPr>
              <w:t>IDSW</w:t>
            </w:r>
          </w:p>
        </w:tc>
      </w:tr>
      <w:tr w14:paraId="357E5E0B">
        <w:tblPrEx>
          <w:tblCellMar>
            <w:top w:w="0" w:type="dxa"/>
            <w:left w:w="10" w:type="dxa"/>
            <w:bottom w:w="0" w:type="dxa"/>
            <w:right w:w="10" w:type="dxa"/>
          </w:tblCellMar>
        </w:tblPrEx>
        <w:tc>
          <w:tcPr>
            <w:tcW w:w="1512" w:type="dxa"/>
            <w:tcBorders>
              <w:top w:val="nil"/>
              <w:left w:val="nil"/>
              <w:bottom w:val="nil"/>
              <w:right w:val="nil"/>
            </w:tcBorders>
            <w:vAlign w:val="center"/>
          </w:tcPr>
          <w:p w14:paraId="58AAF9FE">
            <w:pPr>
              <w:spacing w:line="240" w:lineRule="auto" w:before="0" w:after="20"/>
              <w:jc w:val="left"/>
            </w:pPr>
            <w:r>
              <w:rPr>
                <w:rFonts w:ascii="Times New Roman" w:hAnsi="Times New Roman" w:eastAsia="Times New Roman" w:cs="Times New Roman"/>
                <w:color w:val="000000"/>
                <w:sz w:val="18"/>
              </w:rPr>
              <w:t>Base</w:t>
            </w:r>
          </w:p>
        </w:tc>
        <w:tc>
          <w:tcPr>
            <w:tcW w:w="1512" w:type="dxa"/>
            <w:tcBorders>
              <w:top w:val="nil"/>
              <w:left w:val="nil"/>
              <w:bottom w:val="nil"/>
              <w:right w:val="nil"/>
            </w:tcBorders>
            <w:vAlign w:val="center"/>
          </w:tcPr>
          <w:p w14:paraId="1D3A0636">
            <w:pPr>
              <w:spacing w:line="240" w:lineRule="auto" w:before="0" w:after="20"/>
              <w:jc w:val="center"/>
            </w:pPr>
            <w:r>
              <w:rPr>
                <w:rFonts w:ascii="Times New Roman" w:hAnsi="Times New Roman" w:eastAsia="Times New Roman" w:cs="Times New Roman"/>
                <w:color w:val="000000"/>
                <w:sz w:val="18"/>
              </w:rPr>
              <w:t>58.232 ± 0.304</w:t>
            </w:r>
          </w:p>
        </w:tc>
        <w:tc>
          <w:tcPr>
            <w:tcW w:w="1512" w:type="dxa"/>
            <w:tcBorders>
              <w:top w:val="nil"/>
              <w:left w:val="nil"/>
              <w:bottom w:val="nil"/>
              <w:right w:val="nil"/>
            </w:tcBorders>
            <w:vAlign w:val="center"/>
          </w:tcPr>
          <w:p w14:paraId="7BDFD45E">
            <w:pPr>
              <w:spacing w:line="240" w:lineRule="auto" w:before="0" w:after="20"/>
              <w:jc w:val="center"/>
            </w:pPr>
            <w:r>
              <w:rPr>
                <w:rFonts w:ascii="Times New Roman" w:hAnsi="Times New Roman" w:eastAsia="Times New Roman" w:cs="Times New Roman"/>
                <w:color w:val="000000"/>
                <w:sz w:val="18"/>
              </w:rPr>
              <w:t>73.150 ± 0.037</w:t>
            </w:r>
          </w:p>
        </w:tc>
        <w:tc>
          <w:tcPr>
            <w:tcW w:w="1512" w:type="dxa"/>
            <w:tcBorders>
              <w:top w:val="nil"/>
              <w:left w:val="nil"/>
              <w:bottom w:val="nil"/>
              <w:right w:val="nil"/>
            </w:tcBorders>
            <w:vAlign w:val="center"/>
          </w:tcPr>
          <w:p w14:paraId="0F7CA575">
            <w:pPr>
              <w:spacing w:line="240" w:lineRule="auto" w:before="0" w:after="20"/>
              <w:jc w:val="center"/>
            </w:pPr>
            <w:r>
              <w:rPr>
                <w:rFonts w:ascii="Times New Roman" w:hAnsi="Times New Roman" w:eastAsia="Times New Roman" w:cs="Times New Roman"/>
                <w:color w:val="000000"/>
                <w:sz w:val="18"/>
              </w:rPr>
              <w:t>48.121 ± 0.577</w:t>
            </w:r>
          </w:p>
        </w:tc>
        <w:tc>
          <w:tcPr>
            <w:tcW w:w="1512" w:type="dxa"/>
            <w:tcBorders>
              <w:top w:val="nil"/>
              <w:left w:val="nil"/>
              <w:bottom w:val="nil"/>
              <w:right w:val="nil"/>
            </w:tcBorders>
            <w:vAlign w:val="center"/>
          </w:tcPr>
          <w:p w14:paraId="5C47B542">
            <w:pPr>
              <w:spacing w:line="240" w:lineRule="auto" w:before="0" w:after="20"/>
              <w:jc w:val="center"/>
            </w:pPr>
            <w:r>
              <w:rPr>
                <w:rFonts w:ascii="Times New Roman" w:hAnsi="Times New Roman" w:eastAsia="Times New Roman" w:cs="Times New Roman"/>
                <w:color w:val="000000"/>
                <w:sz w:val="18"/>
              </w:rPr>
              <w:t>64.042 ± 0.550</w:t>
            </w:r>
          </w:p>
        </w:tc>
        <w:tc>
          <w:tcPr>
            <w:tcW w:w="1512" w:type="dxa"/>
            <w:tcBorders>
              <w:top w:val="nil"/>
              <w:left w:val="nil"/>
              <w:bottom w:val="nil"/>
              <w:right w:val="nil"/>
            </w:tcBorders>
            <w:vAlign w:val="center"/>
          </w:tcPr>
          <w:p w14:paraId="213F5ADE">
            <w:pPr>
              <w:spacing w:line="240" w:lineRule="auto" w:before="0" w:after="20"/>
              <w:jc w:val="center"/>
            </w:pPr>
            <w:r>
              <w:rPr>
                <w:rFonts w:ascii="Times New Roman" w:hAnsi="Times New Roman" w:eastAsia="Times New Roman" w:cs="Times New Roman"/>
                <w:color w:val="000000"/>
                <w:sz w:val="18"/>
              </w:rPr>
              <w:t>79.375 ± 1.203</w:t>
            </w:r>
          </w:p>
        </w:tc>
      </w:tr>
      <w:tr w14:paraId="283B817B">
        <w:tblPrEx>
          <w:tblCellMar>
            <w:top w:w="0" w:type="dxa"/>
            <w:left w:w="10" w:type="dxa"/>
            <w:bottom w:w="0" w:type="dxa"/>
            <w:right w:w="10" w:type="dxa"/>
          </w:tblCellMar>
        </w:tblPrEx>
        <w:tc>
          <w:tcPr>
            <w:tcW w:w="1512" w:type="dxa"/>
            <w:tcBorders>
              <w:top w:val="nil"/>
              <w:left w:val="nil"/>
              <w:bottom w:val="nil"/>
              <w:right w:val="nil"/>
            </w:tcBorders>
            <w:vAlign w:val="center"/>
          </w:tcPr>
          <w:p w14:paraId="21CC8A96">
            <w:pPr>
              <w:spacing w:line="240" w:lineRule="auto" w:before="0" w:after="20"/>
              <w:jc w:val="left"/>
            </w:pPr>
            <w:r>
              <w:rPr>
                <w:rFonts w:ascii="Times New Roman" w:hAnsi="Times New Roman" w:eastAsia="Times New Roman" w:cs="Times New Roman"/>
                <w:color w:val="000000"/>
                <w:sz w:val="18"/>
              </w:rPr>
              <w:t>+gating</w:t>
            </w:r>
          </w:p>
        </w:tc>
        <w:tc>
          <w:tcPr>
            <w:tcW w:w="1512" w:type="dxa"/>
            <w:tcBorders>
              <w:top w:val="nil"/>
              <w:left w:val="nil"/>
              <w:bottom w:val="nil"/>
              <w:right w:val="nil"/>
            </w:tcBorders>
            <w:vAlign w:val="center"/>
          </w:tcPr>
          <w:p w14:paraId="437B83D5">
            <w:pPr>
              <w:spacing w:line="240" w:lineRule="auto" w:before="0" w:after="20"/>
              <w:jc w:val="center"/>
            </w:pPr>
            <w:r>
              <w:rPr>
                <w:rFonts w:ascii="Times New Roman" w:hAnsi="Times New Roman" w:eastAsia="Times New Roman" w:cs="Times New Roman"/>
                <w:color w:val="000000"/>
                <w:sz w:val="18"/>
              </w:rPr>
              <w:t>50.345 ± 2.317</w:t>
            </w:r>
          </w:p>
        </w:tc>
        <w:tc>
          <w:tcPr>
            <w:tcW w:w="1512" w:type="dxa"/>
            <w:tcBorders>
              <w:top w:val="nil"/>
              <w:left w:val="nil"/>
              <w:bottom w:val="nil"/>
              <w:right w:val="nil"/>
            </w:tcBorders>
            <w:vAlign w:val="center"/>
          </w:tcPr>
          <w:p w14:paraId="2102B79C">
            <w:pPr>
              <w:spacing w:line="240" w:lineRule="auto" w:before="0" w:after="20"/>
              <w:jc w:val="center"/>
            </w:pPr>
            <w:r>
              <w:rPr>
                <w:rFonts w:ascii="Times New Roman" w:hAnsi="Times New Roman" w:eastAsia="Times New Roman" w:cs="Times New Roman"/>
                <w:color w:val="000000"/>
                <w:sz w:val="18"/>
              </w:rPr>
              <w:t>72.504 ± 0.033</w:t>
            </w:r>
          </w:p>
        </w:tc>
        <w:tc>
          <w:tcPr>
            <w:tcW w:w="1512" w:type="dxa"/>
            <w:tcBorders>
              <w:top w:val="nil"/>
              <w:left w:val="nil"/>
              <w:bottom w:val="nil"/>
              <w:right w:val="nil"/>
            </w:tcBorders>
            <w:vAlign w:val="center"/>
          </w:tcPr>
          <w:p w14:paraId="0C07EC6B">
            <w:pPr>
              <w:spacing w:line="240" w:lineRule="auto" w:before="0" w:after="20"/>
              <w:jc w:val="center"/>
            </w:pPr>
            <w:r>
              <w:rPr>
                <w:rFonts w:ascii="Times New Roman" w:hAnsi="Times New Roman" w:eastAsia="Times New Roman" w:cs="Times New Roman"/>
                <w:color w:val="000000"/>
                <w:sz w:val="18"/>
              </w:rPr>
              <w:t>37.281 ± 3.652</w:t>
            </w:r>
          </w:p>
        </w:tc>
        <w:tc>
          <w:tcPr>
            <w:tcW w:w="1512" w:type="dxa"/>
            <w:tcBorders>
              <w:top w:val="nil"/>
              <w:left w:val="nil"/>
              <w:bottom w:val="nil"/>
              <w:right w:val="nil"/>
            </w:tcBorders>
            <w:vAlign w:val="center"/>
          </w:tcPr>
          <w:p w14:paraId="2DA611F4">
            <w:pPr>
              <w:spacing w:line="240" w:lineRule="auto" w:before="0" w:after="20"/>
              <w:jc w:val="center"/>
            </w:pPr>
            <w:r>
              <w:rPr>
                <w:rFonts w:ascii="Times New Roman" w:hAnsi="Times New Roman" w:eastAsia="Times New Roman" w:cs="Times New Roman"/>
                <w:color w:val="000000"/>
                <w:sz w:val="18"/>
              </w:rPr>
              <w:t>53.967 ± 3.051</w:t>
            </w:r>
          </w:p>
        </w:tc>
        <w:tc>
          <w:tcPr>
            <w:tcW w:w="1512" w:type="dxa"/>
            <w:tcBorders>
              <w:top w:val="nil"/>
              <w:left w:val="nil"/>
              <w:bottom w:val="nil"/>
              <w:right w:val="nil"/>
            </w:tcBorders>
            <w:vAlign w:val="center"/>
          </w:tcPr>
          <w:p w14:paraId="3070253C">
            <w:pPr>
              <w:spacing w:line="240" w:lineRule="auto" w:before="0" w:after="20"/>
              <w:jc w:val="center"/>
            </w:pPr>
            <w:r>
              <w:rPr>
                <w:rFonts w:ascii="Times New Roman" w:hAnsi="Times New Roman" w:eastAsia="Times New Roman" w:cs="Times New Roman"/>
                <w:color w:val="000000"/>
                <w:sz w:val="18"/>
              </w:rPr>
              <w:t>130.458 ± 0.425</w:t>
            </w:r>
          </w:p>
        </w:tc>
      </w:tr>
      <w:tr w14:paraId="69602B30">
        <w:tblPrEx>
          <w:tblCellMar>
            <w:top w:w="0" w:type="dxa"/>
            <w:left w:w="10" w:type="dxa"/>
            <w:bottom w:w="0" w:type="dxa"/>
            <w:right w:w="10" w:type="dxa"/>
          </w:tblCellMar>
        </w:tblPrEx>
        <w:tc>
          <w:tcPr>
            <w:tcW w:w="1512" w:type="dxa"/>
            <w:tcBorders>
              <w:top w:val="nil"/>
              <w:left w:val="nil"/>
              <w:bottom w:val="nil"/>
              <w:right w:val="nil"/>
            </w:tcBorders>
            <w:vAlign w:val="center"/>
          </w:tcPr>
          <w:p w14:paraId="7D3763AB">
            <w:pPr>
              <w:spacing w:line="240" w:lineRule="auto" w:before="0" w:after="20"/>
              <w:jc w:val="left"/>
            </w:pPr>
            <w:r>
              <w:rPr>
                <w:rFonts w:ascii="Times New Roman" w:hAnsi="Times New Roman" w:eastAsia="Times New Roman" w:cs="Times New Roman"/>
                <w:color w:val="000000"/>
                <w:sz w:val="18"/>
              </w:rPr>
              <w:t>+traj</w:t>
            </w:r>
          </w:p>
        </w:tc>
        <w:tc>
          <w:tcPr>
            <w:tcW w:w="1512" w:type="dxa"/>
            <w:tcBorders>
              <w:top w:val="nil"/>
              <w:left w:val="nil"/>
              <w:bottom w:val="nil"/>
              <w:right w:val="nil"/>
            </w:tcBorders>
            <w:vAlign w:val="center"/>
          </w:tcPr>
          <w:p w14:paraId="4F7DFE1A">
            <w:pPr>
              <w:spacing w:line="240" w:lineRule="auto" w:before="0" w:after="20"/>
              <w:jc w:val="center"/>
            </w:pPr>
            <w:r>
              <w:rPr>
                <w:rFonts w:ascii="Times New Roman" w:hAnsi="Times New Roman" w:eastAsia="Times New Roman" w:cs="Times New Roman"/>
                <w:color w:val="000000"/>
                <w:sz w:val="18"/>
              </w:rPr>
              <w:t>50.695 ± 1.557</w:t>
            </w:r>
          </w:p>
        </w:tc>
        <w:tc>
          <w:tcPr>
            <w:tcW w:w="1512" w:type="dxa"/>
            <w:tcBorders>
              <w:top w:val="nil"/>
              <w:left w:val="nil"/>
              <w:bottom w:val="nil"/>
              <w:right w:val="nil"/>
            </w:tcBorders>
            <w:vAlign w:val="center"/>
          </w:tcPr>
          <w:p w14:paraId="7A9A96B4">
            <w:pPr>
              <w:spacing w:line="240" w:lineRule="auto" w:before="0" w:after="20"/>
              <w:jc w:val="center"/>
            </w:pPr>
            <w:r>
              <w:rPr>
                <w:rFonts w:ascii="Times New Roman" w:hAnsi="Times New Roman" w:eastAsia="Times New Roman" w:cs="Times New Roman"/>
                <w:color w:val="000000"/>
                <w:sz w:val="18"/>
              </w:rPr>
              <w:t>72.448 ± 0.135</w:t>
            </w:r>
          </w:p>
        </w:tc>
        <w:tc>
          <w:tcPr>
            <w:tcW w:w="1512" w:type="dxa"/>
            <w:tcBorders>
              <w:top w:val="nil"/>
              <w:left w:val="nil"/>
              <w:bottom w:val="nil"/>
              <w:right w:val="nil"/>
            </w:tcBorders>
            <w:vAlign w:val="center"/>
          </w:tcPr>
          <w:p w14:paraId="3392A0BF">
            <w:pPr>
              <w:spacing w:line="240" w:lineRule="auto" w:before="0" w:after="20"/>
              <w:jc w:val="center"/>
            </w:pPr>
            <w:r>
              <w:rPr>
                <w:rFonts w:ascii="Times New Roman" w:hAnsi="Times New Roman" w:eastAsia="Times New Roman" w:cs="Times New Roman"/>
                <w:color w:val="000000"/>
                <w:sz w:val="18"/>
              </w:rPr>
              <w:t>37.332 ± 2.443</w:t>
            </w:r>
          </w:p>
        </w:tc>
        <w:tc>
          <w:tcPr>
            <w:tcW w:w="1512" w:type="dxa"/>
            <w:tcBorders>
              <w:top w:val="nil"/>
              <w:left w:val="nil"/>
              <w:bottom w:val="nil"/>
              <w:right w:val="nil"/>
            </w:tcBorders>
            <w:vAlign w:val="center"/>
          </w:tcPr>
          <w:p w14:paraId="6069F0DF">
            <w:pPr>
              <w:spacing w:line="240" w:lineRule="auto" w:before="0" w:after="20"/>
              <w:jc w:val="center"/>
            </w:pPr>
            <w:r>
              <w:rPr>
                <w:rFonts w:ascii="Times New Roman" w:hAnsi="Times New Roman" w:eastAsia="Times New Roman" w:cs="Times New Roman"/>
                <w:color w:val="000000"/>
                <w:sz w:val="18"/>
              </w:rPr>
              <w:t>54.277 ± 1.996</w:t>
            </w:r>
          </w:p>
        </w:tc>
        <w:tc>
          <w:tcPr>
            <w:tcW w:w="1512" w:type="dxa"/>
            <w:tcBorders>
              <w:top w:val="nil"/>
              <w:left w:val="nil"/>
              <w:bottom w:val="nil"/>
              <w:right w:val="nil"/>
            </w:tcBorders>
            <w:vAlign w:val="center"/>
          </w:tcPr>
          <w:p w14:paraId="06649677">
            <w:pPr>
              <w:spacing w:line="240" w:lineRule="auto" w:before="0" w:after="20"/>
              <w:jc w:val="center"/>
            </w:pPr>
            <w:r>
              <w:rPr>
                <w:rFonts w:ascii="Times New Roman" w:hAnsi="Times New Roman" w:eastAsia="Times New Roman" w:cs="Times New Roman"/>
                <w:color w:val="000000"/>
                <w:sz w:val="18"/>
              </w:rPr>
              <w:t>117.792 ± 0.680</w:t>
            </w:r>
          </w:p>
        </w:tc>
      </w:tr>
      <w:tr w14:paraId="2E089941">
        <w:tblPrEx>
          <w:tblCellMar>
            <w:top w:w="0" w:type="dxa"/>
            <w:left w:w="10" w:type="dxa"/>
            <w:bottom w:w="0" w:type="dxa"/>
            <w:right w:w="10" w:type="dxa"/>
          </w:tblCellMar>
        </w:tblPrEx>
        <w:tc>
          <w:tcPr>
            <w:tcW w:w="1512" w:type="dxa"/>
            <w:tcBorders>
              <w:top w:val="nil"/>
              <w:left w:val="nil"/>
              <w:bottom w:val="nil"/>
              <w:right w:val="nil"/>
            </w:tcBorders>
            <w:vAlign w:val="center"/>
          </w:tcPr>
          <w:p w14:paraId="5A630DCB">
            <w:pPr>
              <w:spacing w:line="240" w:lineRule="auto" w:before="0" w:after="20"/>
              <w:jc w:val="left"/>
            </w:pPr>
            <w:r>
              <w:rPr>
                <w:rFonts w:ascii="Times New Roman" w:hAnsi="Times New Roman" w:eastAsia="Times New Roman" w:cs="Times New Roman"/>
                <w:color w:val="000000"/>
                <w:sz w:val="18"/>
              </w:rPr>
              <w:t>+adaptive</w:t>
            </w:r>
          </w:p>
        </w:tc>
        <w:tc>
          <w:tcPr>
            <w:tcW w:w="1512" w:type="dxa"/>
            <w:tcBorders>
              <w:top w:val="nil"/>
              <w:left w:val="nil"/>
              <w:bottom w:val="nil"/>
              <w:right w:val="nil"/>
            </w:tcBorders>
            <w:vAlign w:val="center"/>
          </w:tcPr>
          <w:p w14:paraId="75F9AD02">
            <w:pPr>
              <w:spacing w:line="240" w:lineRule="auto" w:before="0" w:after="20"/>
              <w:jc w:val="center"/>
            </w:pPr>
            <w:r>
              <w:rPr>
                <w:rFonts w:ascii="Times New Roman" w:hAnsi="Times New Roman" w:eastAsia="Times New Roman" w:cs="Times New Roman"/>
                <w:color w:val="000000"/>
                <w:sz w:val="18"/>
              </w:rPr>
              <w:t>51.071 ± 1.435</w:t>
            </w:r>
          </w:p>
        </w:tc>
        <w:tc>
          <w:tcPr>
            <w:tcW w:w="1512" w:type="dxa"/>
            <w:tcBorders>
              <w:top w:val="nil"/>
              <w:left w:val="nil"/>
              <w:bottom w:val="nil"/>
              <w:right w:val="nil"/>
            </w:tcBorders>
            <w:vAlign w:val="center"/>
          </w:tcPr>
          <w:p w14:paraId="3D52F67F">
            <w:pPr>
              <w:spacing w:line="240" w:lineRule="auto" w:before="0" w:after="20"/>
              <w:jc w:val="center"/>
            </w:pPr>
            <w:r>
              <w:rPr>
                <w:rFonts w:ascii="Times New Roman" w:hAnsi="Times New Roman" w:eastAsia="Times New Roman" w:cs="Times New Roman"/>
                <w:color w:val="000000"/>
                <w:sz w:val="18"/>
              </w:rPr>
              <w:t>72.538 ± 0.226</w:t>
            </w:r>
          </w:p>
        </w:tc>
        <w:tc>
          <w:tcPr>
            <w:tcW w:w="1512" w:type="dxa"/>
            <w:tcBorders>
              <w:top w:val="nil"/>
              <w:left w:val="nil"/>
              <w:bottom w:val="nil"/>
              <w:right w:val="nil"/>
            </w:tcBorders>
            <w:vAlign w:val="center"/>
          </w:tcPr>
          <w:p w14:paraId="5B181FF8">
            <w:pPr>
              <w:spacing w:line="240" w:lineRule="auto" w:before="0" w:after="20"/>
              <w:jc w:val="center"/>
            </w:pPr>
            <w:r>
              <w:rPr>
                <w:rFonts w:ascii="Times New Roman" w:hAnsi="Times New Roman" w:eastAsia="Times New Roman" w:cs="Times New Roman"/>
                <w:color w:val="000000"/>
                <w:sz w:val="18"/>
              </w:rPr>
              <w:t>37.771 ± 2.167</w:t>
            </w:r>
          </w:p>
        </w:tc>
        <w:tc>
          <w:tcPr>
            <w:tcW w:w="1512" w:type="dxa"/>
            <w:tcBorders>
              <w:top w:val="nil"/>
              <w:left w:val="nil"/>
              <w:bottom w:val="nil"/>
              <w:right w:val="nil"/>
            </w:tcBorders>
            <w:vAlign w:val="center"/>
          </w:tcPr>
          <w:p w14:paraId="07520D2B">
            <w:pPr>
              <w:spacing w:line="240" w:lineRule="auto" w:before="0" w:after="20"/>
              <w:jc w:val="center"/>
            </w:pPr>
            <w:r>
              <w:rPr>
                <w:rFonts w:ascii="Times New Roman" w:hAnsi="Times New Roman" w:eastAsia="Times New Roman" w:cs="Times New Roman"/>
                <w:color w:val="000000"/>
                <w:sz w:val="18"/>
              </w:rPr>
              <w:t>54.667 ± 1.779</w:t>
            </w:r>
          </w:p>
        </w:tc>
        <w:tc>
          <w:tcPr>
            <w:tcW w:w="1512" w:type="dxa"/>
            <w:tcBorders>
              <w:top w:val="nil"/>
              <w:left w:val="nil"/>
              <w:bottom w:val="nil"/>
              <w:right w:val="nil"/>
            </w:tcBorders>
            <w:vAlign w:val="center"/>
          </w:tcPr>
          <w:p w14:paraId="1351D6FA">
            <w:pPr>
              <w:spacing w:line="240" w:lineRule="auto" w:before="0" w:after="20"/>
              <w:jc w:val="center"/>
            </w:pPr>
            <w:r>
              <w:rPr>
                <w:rFonts w:ascii="Times New Roman" w:hAnsi="Times New Roman" w:eastAsia="Times New Roman" w:cs="Times New Roman"/>
                <w:color w:val="000000"/>
                <w:sz w:val="18"/>
              </w:rPr>
              <w:t>113.792 ± 0.257</w:t>
            </w:r>
          </w:p>
        </w:tc>
      </w:tr>
      <w:tr w14:paraId="657E6FFF">
        <w:tblPrEx>
          <w:tblCellMar>
            <w:top w:w="0" w:type="dxa"/>
            <w:left w:w="10" w:type="dxa"/>
            <w:bottom w:w="0" w:type="dxa"/>
            <w:right w:w="10" w:type="dxa"/>
          </w:tblCellMar>
        </w:tblPrEx>
        <w:tc>
          <w:tcPr>
            <w:tcW w:w="1512" w:type="dxa"/>
            <w:tcBorders>
              <w:top w:val="nil"/>
              <w:left w:val="nil"/>
              <w:bottom w:val="nil"/>
              <w:right w:val="nil"/>
            </w:tcBorders>
            <w:vAlign w:val="center"/>
          </w:tcPr>
          <w:p w14:paraId="1B2D9618">
            <w:pPr>
              <w:spacing w:line="240" w:lineRule="auto" w:before="0" w:after="20"/>
              <w:jc w:val="left"/>
            </w:pPr>
            <w:r>
              <w:rPr>
                <w:rFonts w:ascii="Times New Roman" w:hAnsi="Times New Roman" w:eastAsia="Times New Roman" w:cs="Times New Roman"/>
                <w:color w:val="000000"/>
                <w:sz w:val="18"/>
              </w:rPr>
              <w:t>ByteTrack</w:t>
            </w:r>
          </w:p>
        </w:tc>
        <w:tc>
          <w:tcPr>
            <w:tcW w:w="1512" w:type="dxa"/>
            <w:tcBorders>
              <w:top w:val="nil"/>
              <w:left w:val="nil"/>
              <w:bottom w:val="nil"/>
              <w:right w:val="nil"/>
            </w:tcBorders>
            <w:vAlign w:val="center"/>
          </w:tcPr>
          <w:p w14:paraId="2ED508BB">
            <w:pPr>
              <w:spacing w:line="240" w:lineRule="auto" w:before="0" w:after="20"/>
              <w:jc w:val="center"/>
            </w:pPr>
            <w:r>
              <w:rPr>
                <w:rFonts w:ascii="Times New Roman" w:hAnsi="Times New Roman" w:eastAsia="Times New Roman" w:cs="Times New Roman"/>
                <w:color w:val="000000"/>
                <w:sz w:val="18"/>
              </w:rPr>
              <w:t>58.431 ± 0.291</w:t>
            </w:r>
          </w:p>
        </w:tc>
        <w:tc>
          <w:tcPr>
            <w:tcW w:w="1512" w:type="dxa"/>
            <w:tcBorders>
              <w:top w:val="nil"/>
              <w:left w:val="nil"/>
              <w:bottom w:val="nil"/>
              <w:right w:val="nil"/>
            </w:tcBorders>
            <w:vAlign w:val="center"/>
          </w:tcPr>
          <w:p w14:paraId="0CC11C22">
            <w:pPr>
              <w:spacing w:line="240" w:lineRule="auto" w:before="0" w:after="20"/>
              <w:jc w:val="center"/>
            </w:pPr>
            <w:r>
              <w:rPr>
                <w:rFonts w:ascii="Times New Roman" w:hAnsi="Times New Roman" w:eastAsia="Times New Roman" w:cs="Times New Roman"/>
                <w:color w:val="000000"/>
                <w:sz w:val="18"/>
              </w:rPr>
              <w:t>73.858 ± 0.015</w:t>
            </w:r>
          </w:p>
        </w:tc>
        <w:tc>
          <w:tcPr>
            <w:tcW w:w="1512" w:type="dxa"/>
            <w:tcBorders>
              <w:top w:val="nil"/>
              <w:left w:val="nil"/>
              <w:bottom w:val="nil"/>
              <w:right w:val="nil"/>
            </w:tcBorders>
            <w:vAlign w:val="center"/>
          </w:tcPr>
          <w:p w14:paraId="37300EA3">
            <w:pPr>
              <w:spacing w:line="240" w:lineRule="auto" w:before="0" w:after="20"/>
              <w:jc w:val="center"/>
            </w:pPr>
            <w:r>
              <w:rPr>
                <w:rFonts w:ascii="Times New Roman" w:hAnsi="Times New Roman" w:eastAsia="Times New Roman" w:cs="Times New Roman"/>
                <w:color w:val="000000"/>
                <w:sz w:val="18"/>
              </w:rPr>
              <w:t>48.049 ± 0.569</w:t>
            </w:r>
          </w:p>
        </w:tc>
        <w:tc>
          <w:tcPr>
            <w:tcW w:w="1512" w:type="dxa"/>
            <w:tcBorders>
              <w:top w:val="nil"/>
              <w:left w:val="nil"/>
              <w:bottom w:val="nil"/>
              <w:right w:val="nil"/>
            </w:tcBorders>
            <w:vAlign w:val="center"/>
          </w:tcPr>
          <w:p w14:paraId="2847D5F6">
            <w:pPr>
              <w:spacing w:line="240" w:lineRule="auto" w:before="0" w:after="20"/>
              <w:jc w:val="center"/>
            </w:pPr>
            <w:r>
              <w:rPr>
                <w:rFonts w:ascii="Times New Roman" w:hAnsi="Times New Roman" w:eastAsia="Times New Roman" w:cs="Times New Roman"/>
                <w:color w:val="000000"/>
                <w:sz w:val="18"/>
              </w:rPr>
              <w:t>64.011 ± 0.545</w:t>
            </w:r>
          </w:p>
        </w:tc>
        <w:tc>
          <w:tcPr>
            <w:tcW w:w="1512" w:type="dxa"/>
            <w:tcBorders>
              <w:top w:val="nil"/>
              <w:left w:val="nil"/>
              <w:bottom w:val="nil"/>
              <w:right w:val="nil"/>
            </w:tcBorders>
            <w:vAlign w:val="center"/>
          </w:tcPr>
          <w:p w14:paraId="65130D32">
            <w:pPr>
              <w:spacing w:line="240" w:lineRule="auto" w:before="0" w:after="20"/>
              <w:jc w:val="center"/>
            </w:pPr>
            <w:r>
              <w:rPr>
                <w:rFonts w:ascii="Times New Roman" w:hAnsi="Times New Roman" w:eastAsia="Times New Roman" w:cs="Times New Roman"/>
                <w:color w:val="000000"/>
                <w:sz w:val="18"/>
              </w:rPr>
              <w:t>88.375 ± 0.872</w:t>
            </w:r>
          </w:p>
        </w:tc>
      </w:tr>
      <w:tr w14:paraId="03628C4E">
        <w:tblPrEx>
          <w:tblCellMar>
            <w:top w:w="0" w:type="dxa"/>
            <w:left w:w="10" w:type="dxa"/>
            <w:bottom w:w="0" w:type="dxa"/>
            <w:right w:w="10" w:type="dxa"/>
          </w:tblCellMar>
        </w:tblPrEx>
        <w:tc>
          <w:tcPr>
            <w:tcW w:w="1512" w:type="dxa"/>
            <w:tcBorders>
              <w:top w:val="nil"/>
              <w:left w:val="nil"/>
              <w:bottom w:val="nil"/>
              <w:right w:val="nil"/>
            </w:tcBorders>
            <w:vAlign w:val="center"/>
          </w:tcPr>
          <w:p w14:paraId="7FDE87A5">
            <w:pPr>
              <w:spacing w:line="240" w:lineRule="auto" w:before="0" w:after="20"/>
              <w:jc w:val="left"/>
            </w:pPr>
            <w:r>
              <w:rPr>
                <w:rFonts w:ascii="Times New Roman" w:hAnsi="Times New Roman" w:eastAsia="Times New Roman" w:cs="Times New Roman"/>
                <w:color w:val="000000"/>
                <w:sz w:val="18"/>
              </w:rPr>
              <w:t>OC-SORT</w:t>
            </w:r>
          </w:p>
        </w:tc>
        <w:tc>
          <w:tcPr>
            <w:tcW w:w="1512" w:type="dxa"/>
            <w:tcBorders>
              <w:top w:val="nil"/>
              <w:left w:val="nil"/>
              <w:bottom w:val="nil"/>
              <w:right w:val="nil"/>
            </w:tcBorders>
            <w:vAlign w:val="center"/>
          </w:tcPr>
          <w:p w14:paraId="536B2813">
            <w:pPr>
              <w:spacing w:line="240" w:lineRule="auto" w:before="0" w:after="20"/>
              <w:jc w:val="center"/>
            </w:pPr>
            <w:r>
              <w:rPr>
                <w:rFonts w:ascii="Times New Roman" w:hAnsi="Times New Roman" w:eastAsia="Times New Roman" w:cs="Times New Roman"/>
                <w:color w:val="000000"/>
                <w:sz w:val="18"/>
              </w:rPr>
              <w:t>49.732 ± 1.619</w:t>
            </w:r>
          </w:p>
        </w:tc>
        <w:tc>
          <w:tcPr>
            <w:tcW w:w="1512" w:type="dxa"/>
            <w:tcBorders>
              <w:top w:val="nil"/>
              <w:left w:val="nil"/>
              <w:bottom w:val="nil"/>
              <w:right w:val="nil"/>
            </w:tcBorders>
            <w:vAlign w:val="center"/>
          </w:tcPr>
          <w:p w14:paraId="279804ED">
            <w:pPr>
              <w:spacing w:line="240" w:lineRule="auto" w:before="0" w:after="20"/>
              <w:jc w:val="center"/>
            </w:pPr>
            <w:r>
              <w:rPr>
                <w:rFonts w:ascii="Times New Roman" w:hAnsi="Times New Roman" w:eastAsia="Times New Roman" w:cs="Times New Roman"/>
                <w:color w:val="000000"/>
                <w:sz w:val="18"/>
              </w:rPr>
              <w:t>73.985 ± 0.135</w:t>
            </w:r>
          </w:p>
        </w:tc>
        <w:tc>
          <w:tcPr>
            <w:tcW w:w="1512" w:type="dxa"/>
            <w:tcBorders>
              <w:top w:val="nil"/>
              <w:left w:val="nil"/>
              <w:bottom w:val="nil"/>
              <w:right w:val="nil"/>
            </w:tcBorders>
            <w:vAlign w:val="center"/>
          </w:tcPr>
          <w:p w14:paraId="7CB38F09">
            <w:pPr>
              <w:spacing w:line="240" w:lineRule="auto" w:before="0" w:after="20"/>
              <w:jc w:val="center"/>
            </w:pPr>
            <w:r>
              <w:rPr>
                <w:rFonts w:ascii="Times New Roman" w:hAnsi="Times New Roman" w:eastAsia="Times New Roman" w:cs="Times New Roman"/>
                <w:color w:val="000000"/>
                <w:sz w:val="18"/>
              </w:rPr>
              <w:t>35.605 ± 2.352</w:t>
            </w:r>
          </w:p>
        </w:tc>
        <w:tc>
          <w:tcPr>
            <w:tcW w:w="1512" w:type="dxa"/>
            <w:tcBorders>
              <w:top w:val="nil"/>
              <w:left w:val="nil"/>
              <w:bottom w:val="nil"/>
              <w:right w:val="nil"/>
            </w:tcBorders>
            <w:vAlign w:val="center"/>
          </w:tcPr>
          <w:p w14:paraId="621D481A">
            <w:pPr>
              <w:spacing w:line="240" w:lineRule="auto" w:before="0" w:after="20"/>
              <w:jc w:val="center"/>
            </w:pPr>
            <w:r>
              <w:rPr>
                <w:rFonts w:ascii="Times New Roman" w:hAnsi="Times New Roman" w:eastAsia="Times New Roman" w:cs="Times New Roman"/>
                <w:color w:val="000000"/>
                <w:sz w:val="18"/>
              </w:rPr>
              <w:t>52.631 ± 2.057</w:t>
            </w:r>
          </w:p>
        </w:tc>
        <w:tc>
          <w:tcPr>
            <w:tcW w:w="1512" w:type="dxa"/>
            <w:tcBorders>
              <w:top w:val="nil"/>
              <w:left w:val="nil"/>
              <w:bottom w:val="nil"/>
              <w:right w:val="nil"/>
            </w:tcBorders>
            <w:vAlign w:val="center"/>
          </w:tcPr>
          <w:p w14:paraId="19B17E80">
            <w:pPr>
              <w:spacing w:line="240" w:lineRule="auto" w:before="0" w:after="20"/>
              <w:jc w:val="center"/>
            </w:pPr>
            <w:r>
              <w:rPr>
                <w:rFonts w:ascii="Times New Roman" w:hAnsi="Times New Roman" w:eastAsia="Times New Roman" w:cs="Times New Roman"/>
                <w:color w:val="000000"/>
                <w:sz w:val="18"/>
              </w:rPr>
              <w:t>145.875 ± 1.643</w:t>
            </w:r>
          </w:p>
        </w:tc>
      </w:tr>
      <w:tr w14:paraId="4F9EF6AC">
        <w:tblPrEx>
          <w:tblCellMar>
            <w:top w:w="0" w:type="dxa"/>
            <w:left w:w="10" w:type="dxa"/>
            <w:bottom w:w="0" w:type="dxa"/>
            <w:right w:w="10" w:type="dxa"/>
          </w:tblCellMar>
        </w:tblPrEx>
        <w:tc>
          <w:tcPr>
            <w:tcW w:w="1512" w:type="dxa"/>
            <w:tcBorders>
              <w:top w:val="nil"/>
              <w:left w:val="nil"/>
              <w:bottom w:val="single" w:color="000000" w:sz="8" w:space="0"/>
              <w:right w:val="nil"/>
            </w:tcBorders>
            <w:vAlign w:val="center"/>
          </w:tcPr>
          <w:p w14:paraId="30A0DB7B">
            <w:pPr>
              <w:spacing w:line="240" w:lineRule="auto" w:before="0" w:after="20"/>
              <w:jc w:val="left"/>
            </w:pPr>
            <w:r>
              <w:rPr>
                <w:rFonts w:ascii="Times New Roman" w:hAnsi="Times New Roman" w:eastAsia="Times New Roman" w:cs="Times New Roman"/>
                <w:color w:val="000000"/>
                <w:sz w:val="18"/>
              </w:rPr>
              <w:t>BoT-SORT</w:t>
            </w:r>
          </w:p>
        </w:tc>
        <w:tc>
          <w:tcPr>
            <w:tcW w:w="1512" w:type="dxa"/>
            <w:tcBorders>
              <w:top w:val="nil"/>
              <w:left w:val="nil"/>
              <w:bottom w:val="single" w:color="000000" w:sz="8" w:space="0"/>
              <w:right w:val="nil"/>
            </w:tcBorders>
            <w:vAlign w:val="center"/>
          </w:tcPr>
          <w:p w14:paraId="3D40BF1E">
            <w:pPr>
              <w:spacing w:line="240" w:lineRule="auto" w:before="0" w:after="20"/>
              <w:jc w:val="center"/>
            </w:pPr>
            <w:r>
              <w:rPr>
                <w:rFonts w:ascii="Times New Roman" w:hAnsi="Times New Roman" w:eastAsia="Times New Roman" w:cs="Times New Roman"/>
                <w:color w:val="000000"/>
                <w:sz w:val="18"/>
              </w:rPr>
              <w:t>50.414 ± 0.981</w:t>
            </w:r>
          </w:p>
        </w:tc>
        <w:tc>
          <w:tcPr>
            <w:tcW w:w="1512" w:type="dxa"/>
            <w:tcBorders>
              <w:top w:val="nil"/>
              <w:left w:val="nil"/>
              <w:bottom w:val="single" w:color="000000" w:sz="8" w:space="0"/>
              <w:right w:val="nil"/>
            </w:tcBorders>
            <w:vAlign w:val="center"/>
          </w:tcPr>
          <w:p w14:paraId="6B5BB2A9">
            <w:pPr>
              <w:spacing w:line="240" w:lineRule="auto" w:before="0" w:after="20"/>
              <w:jc w:val="center"/>
            </w:pPr>
            <w:r>
              <w:rPr>
                <w:rFonts w:ascii="Times New Roman" w:hAnsi="Times New Roman" w:eastAsia="Times New Roman" w:cs="Times New Roman"/>
                <w:color w:val="000000"/>
                <w:sz w:val="18"/>
              </w:rPr>
              <w:t>73.426 ± 0.087</w:t>
            </w:r>
          </w:p>
        </w:tc>
        <w:tc>
          <w:tcPr>
            <w:tcW w:w="1512" w:type="dxa"/>
            <w:tcBorders>
              <w:top w:val="nil"/>
              <w:left w:val="nil"/>
              <w:bottom w:val="single" w:color="000000" w:sz="8" w:space="0"/>
              <w:right w:val="nil"/>
            </w:tcBorders>
            <w:vAlign w:val="center"/>
          </w:tcPr>
          <w:p w14:paraId="1BC86242">
            <w:pPr>
              <w:spacing w:line="240" w:lineRule="auto" w:before="0" w:after="20"/>
              <w:jc w:val="center"/>
            </w:pPr>
            <w:r>
              <w:rPr>
                <w:rFonts w:ascii="Times New Roman" w:hAnsi="Times New Roman" w:eastAsia="Times New Roman" w:cs="Times New Roman"/>
                <w:color w:val="000000"/>
                <w:sz w:val="18"/>
              </w:rPr>
              <w:t>36.214 ± 1.425</w:t>
            </w:r>
          </w:p>
        </w:tc>
        <w:tc>
          <w:tcPr>
            <w:tcW w:w="1512" w:type="dxa"/>
            <w:tcBorders>
              <w:top w:val="nil"/>
              <w:left w:val="nil"/>
              <w:bottom w:val="single" w:color="000000" w:sz="8" w:space="0"/>
              <w:right w:val="nil"/>
            </w:tcBorders>
            <w:vAlign w:val="center"/>
          </w:tcPr>
          <w:p w14:paraId="026DBF8C">
            <w:pPr>
              <w:spacing w:line="240" w:lineRule="auto" w:before="0" w:after="20"/>
              <w:jc w:val="center"/>
            </w:pPr>
            <w:r>
              <w:rPr>
                <w:rFonts w:ascii="Times New Roman" w:hAnsi="Times New Roman" w:eastAsia="Times New Roman" w:cs="Times New Roman"/>
                <w:color w:val="000000"/>
                <w:sz w:val="18"/>
              </w:rPr>
              <w:t>53.412 ± 1.047</w:t>
            </w:r>
          </w:p>
        </w:tc>
        <w:tc>
          <w:tcPr>
            <w:tcW w:w="1512" w:type="dxa"/>
            <w:tcBorders>
              <w:top w:val="nil"/>
              <w:left w:val="nil"/>
              <w:bottom w:val="single" w:color="000000" w:sz="8" w:space="0"/>
              <w:right w:val="nil"/>
            </w:tcBorders>
            <w:vAlign w:val="center"/>
          </w:tcPr>
          <w:p w14:paraId="651D82BC">
            <w:pPr>
              <w:spacing w:line="240" w:lineRule="auto" w:before="0" w:after="20"/>
              <w:jc w:val="center"/>
            </w:pPr>
            <w:r>
              <w:rPr>
                <w:rFonts w:ascii="Times New Roman" w:hAnsi="Times New Roman" w:eastAsia="Times New Roman" w:cs="Times New Roman"/>
                <w:color w:val="000000"/>
                <w:sz w:val="18"/>
              </w:rPr>
              <w:t>121.000 ± 4.056</w:t>
            </w:r>
          </w:p>
        </w:tc>
      </w:tr>
    </w:tbl>
    <w:p w14:paraId="1DC86308">
      <w:pPr>
        <w:pStyle w:val="49"/>
        <w:keepNext/>
        <w:keepLines w:val="0"/>
        <w:widowControl/>
        <w:spacing w:before="160" w:after="40"/>
        <w:jc w:val="center"/>
      </w:pPr>
      <w:bookmarkStart w:id="31" w:name="fig:all_methods_png"/>
      <w:r>
        <w:rPr>
          <w:rFonts w:ascii="Times New Roman" w:hAnsi="Times New Roman" w:eastAsia="Times New Roman" w:cs="Times New Roman"/>
          <w:color w:val="000000"/>
          <w:sz w:val="20"/>
        </w:rPr>
        <w:drawing>
          <wp:inline distT="0" distB="0" distL="114300" distR="114300">
            <wp:extent cx="4693920" cy="2539605"/>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93920" cy="2539605"/>
                    </a:xfrm>
                    <a:prstGeom prst="rect">
                      <a:avLst/>
                    </a:prstGeom>
                  </pic:spPr>
                </pic:pic>
              </a:graphicData>
            </a:graphic>
          </wp:inline>
        </w:drawing>
      </w:r>
    </w:p>
    <w:p w14:paraId="10BBDA11">
      <w:pPr>
        <w:pStyle w:val="47"/>
        <w:keepNext w:val="0"/>
        <w:keepLines w:val="0"/>
        <w:widowControl/>
        <w:jc w:val="left"/>
      </w:pPr>
      <w:r>
        <w:rPr>
          <w:rFonts w:ascii="Times New Roman" w:hAnsi="Times New Roman" w:eastAsia="Times New Roman" w:cs="Times New Roman"/>
          <w:color w:val="000000"/>
          <w:sz w:val="20"/>
        </w:rPr>
        <w:t>Combined comparison of proposed variants and strong baselines.</w:t>
      </w:r>
    </w:p>
    <w:bookmarkEnd w:id="29"/>
    <w:bookmarkEnd w:id="31"/>
    <w:p w14:paraId="5922C339">
      <w:pPr>
        <w:pStyle w:val="4"/>
        <w:keepNext/>
        <w:keepLines w:val="0"/>
        <w:widowControl/>
        <w:jc w:val="left"/>
      </w:pPr>
      <w:bookmarkStart w:id="32" w:name="robustness-under-controlled-degradation"/>
      <w:r>
        <w:rPr>
          <w:rFonts w:ascii="Times New Roman" w:hAnsi="Times New Roman" w:eastAsia="Times New Roman" w:cs="Times New Roman"/>
          <w:b/>
          <w:color w:val="000000"/>
          <w:sz w:val="20"/>
        </w:rPr>
        <w:t>4.3 Robustness under controlled degradation</w:t>
      </w:r>
    </w:p>
    <w:p w14:paraId="332758E7">
      <w:pPr>
        <w:pStyle w:val="25"/>
        <w:keepLines w:val="0"/>
        <w:widowControl/>
        <w:spacing w:line="276" w:lineRule="auto" w:before="0" w:after="80"/>
        <w:jc w:val="both"/>
      </w:pPr>
      <w:r>
        <w:rPr>
          <w:rFonts w:ascii="Times New Roman" w:hAnsi="Times New Roman" w:eastAsia="Times New Roman" w:cs="Times New Roman"/>
          <w:color w:val="000000"/>
          <w:sz w:val="20"/>
        </w:rPr>
        <w:t>Using the frozen degradation table, we compute drop-induced degradation from drop rate 0.0 to 0.4 at jitter=0.00 and 0.02 (Table). For jitter=0.00, HOTA/IDF1 are: Base (35.707/27.959), +gating (28.299/19.257), ByteTrack (35.557/27.857). For jitter=0.02: Base (33.474/25.141), +gating (24.139/14.888), ByteTrack (33.382/25.082).</w:t>
      </w:r>
    </w:p>
    <w:p w14:paraId="0FD9872D">
      <w:pPr>
        <w:pStyle w:val="3"/>
        <w:keepLines w:val="0"/>
        <w:widowControl/>
        <w:spacing w:line="276" w:lineRule="auto" w:before="0" w:after="80"/>
        <w:jc w:val="both"/>
      </w:pPr>
      <w:r>
        <w:rPr>
          <w:rFonts w:ascii="Times New Roman" w:hAnsi="Times New Roman" w:eastAsia="Times New Roman" w:cs="Times New Roman"/>
          <w:color w:val="000000"/>
          <w:sz w:val="20"/>
        </w:rPr>
        <w:t>At the worst point (drop=0.4, jitter=0.02), HOTA ranking is ByteTrack 41.435 &gt; Base 41.182 &gt; +gating 38.727; the top-vs-second gap is 0.253. IDF1 ties between ByteTrack and Base at 49.770, both above +gating (45.989). For IDSW (lower is better), Base (99.625) &lt; ByteTrack (112.750) &lt; +gating (127.875).</w:t>
      </w:r>
    </w:p>
    <w:tbl>
      <w:tblPr>
        <w:tblStyle w:val="19"/>
        <w:tblW w:w="0" w:type="auto"/>
        <w:jc w:val="center"/>
        <w:tblInd w:w="0" w:type="dxa"/>
        <w:tblLayout w:type="autofit"/>
        <w:tblCellMar>
          <w:top w:w="0" w:type="dxa"/>
          <w:left w:w="10" w:type="dxa"/>
          <w:bottom w:w="0" w:type="dxa"/>
          <w:right w:w="10" w:type="dxa"/>
        </w:tblCellMar>
      </w:tblPr>
      <w:tblGrid>
        <w:gridCol w:w="1290"/>
        <w:gridCol w:w="1292"/>
        <w:gridCol w:w="1292"/>
        <w:gridCol w:w="1292"/>
        <w:gridCol w:w="1292"/>
        <w:gridCol w:w="1294"/>
        <w:gridCol w:w="1294"/>
      </w:tblGrid>
      <w:tr w14:paraId="177EEF17">
        <w:tc>
          <w:tcPr>
            <w:tcW w:w="1296" w:type="dxa"/>
            <w:tcBorders>
              <w:top w:val="single" w:color="000000" w:sz="8" w:space="0"/>
              <w:left w:val="nil"/>
              <w:bottom w:val="single" w:color="000000" w:sz="6" w:space="0"/>
              <w:right w:val="nil"/>
            </w:tcBorders>
            <w:vAlign w:val="center"/>
          </w:tcPr>
          <w:p w14:paraId="030F196B">
            <w:pPr>
              <w:spacing w:line="240" w:lineRule="auto" w:before="0" w:after="20"/>
              <w:jc w:val="left"/>
            </w:pPr>
            <w:r>
              <w:rPr>
                <w:rFonts w:ascii="Times New Roman" w:hAnsi="Times New Roman" w:eastAsia="Times New Roman" w:cs="Times New Roman"/>
                <w:b/>
                <w:color w:val="000000"/>
                <w:sz w:val="16"/>
              </w:rPr>
              <w:t>Jitter</w:t>
            </w:r>
          </w:p>
        </w:tc>
        <w:tc>
          <w:tcPr>
            <w:tcW w:w="1296" w:type="dxa"/>
            <w:tcBorders>
              <w:top w:val="single" w:color="000000" w:sz="8" w:space="0"/>
              <w:left w:val="nil"/>
              <w:bottom w:val="single" w:color="000000" w:sz="6" w:space="0"/>
              <w:right w:val="nil"/>
            </w:tcBorders>
            <w:vAlign w:val="center"/>
          </w:tcPr>
          <w:p w14:paraId="69124D71">
            <w:pPr>
              <w:spacing w:line="240" w:lineRule="auto" w:before="0" w:after="20"/>
              <w:jc w:val="center"/>
            </w:pPr>
            <w:r>
              <w:rPr>
                <w:rFonts w:ascii="Times New Roman" w:hAnsi="Times New Roman" w:eastAsia="Times New Roman" w:cs="Times New Roman"/>
                <w:b/>
                <w:color w:val="000000"/>
                <w:sz w:val="16"/>
              </w:rPr>
              <w:t>Base HOTA</w:t>
            </w:r>
          </w:p>
        </w:tc>
        <w:tc>
          <w:tcPr>
            <w:tcW w:w="1296" w:type="dxa"/>
            <w:tcBorders>
              <w:top w:val="single" w:color="000000" w:sz="8" w:space="0"/>
              <w:left w:val="nil"/>
              <w:bottom w:val="single" w:color="000000" w:sz="6" w:space="0"/>
              <w:right w:val="nil"/>
            </w:tcBorders>
            <w:vAlign w:val="center"/>
          </w:tcPr>
          <w:p w14:paraId="2230C779">
            <w:pPr>
              <w:spacing w:line="240" w:lineRule="auto" w:before="0" w:after="20"/>
              <w:jc w:val="center"/>
            </w:pPr>
            <w:r>
              <w:rPr>
                <w:rFonts w:ascii="Times New Roman" w:hAnsi="Times New Roman" w:eastAsia="Times New Roman" w:cs="Times New Roman"/>
                <w:b/>
                <w:color w:val="000000"/>
                <w:sz w:val="16"/>
              </w:rPr>
              <w:t>Base IDF1</w:t>
            </w:r>
          </w:p>
        </w:tc>
        <w:tc>
          <w:tcPr>
            <w:tcW w:w="1296" w:type="dxa"/>
            <w:tcBorders>
              <w:top w:val="single" w:color="000000" w:sz="8" w:space="0"/>
              <w:left w:val="nil"/>
              <w:bottom w:val="single" w:color="000000" w:sz="6" w:space="0"/>
              <w:right w:val="nil"/>
            </w:tcBorders>
            <w:vAlign w:val="center"/>
          </w:tcPr>
          <w:p w14:paraId="2418CE98">
            <w:pPr>
              <w:spacing w:line="240" w:lineRule="auto" w:before="0" w:after="20"/>
              <w:jc w:val="center"/>
            </w:pPr>
            <w:r>
              <w:rPr>
                <w:rFonts w:ascii="Times New Roman" w:hAnsi="Times New Roman" w:eastAsia="Times New Roman" w:cs="Times New Roman"/>
                <w:b/>
                <w:color w:val="000000"/>
                <w:sz w:val="16"/>
              </w:rPr>
              <w:t>+gating HOTA</w:t>
            </w:r>
          </w:p>
        </w:tc>
        <w:tc>
          <w:tcPr>
            <w:tcW w:w="1296" w:type="dxa"/>
            <w:tcBorders>
              <w:top w:val="single" w:color="000000" w:sz="8" w:space="0"/>
              <w:left w:val="nil"/>
              <w:bottom w:val="single" w:color="000000" w:sz="6" w:space="0"/>
              <w:right w:val="nil"/>
            </w:tcBorders>
            <w:vAlign w:val="center"/>
          </w:tcPr>
          <w:p w14:paraId="40807543">
            <w:pPr>
              <w:spacing w:line="240" w:lineRule="auto" w:before="0" w:after="20"/>
              <w:jc w:val="center"/>
            </w:pPr>
            <w:r>
              <w:rPr>
                <w:rFonts w:ascii="Times New Roman" w:hAnsi="Times New Roman" w:eastAsia="Times New Roman" w:cs="Times New Roman"/>
                <w:b/>
                <w:color w:val="000000"/>
                <w:sz w:val="16"/>
              </w:rPr>
              <w:t>+gating IDF1</w:t>
            </w:r>
          </w:p>
        </w:tc>
        <w:tc>
          <w:tcPr>
            <w:tcW w:w="1296" w:type="dxa"/>
            <w:tcBorders>
              <w:top w:val="single" w:color="000000" w:sz="8" w:space="0"/>
              <w:left w:val="nil"/>
              <w:bottom w:val="single" w:color="000000" w:sz="6" w:space="0"/>
              <w:right w:val="nil"/>
            </w:tcBorders>
            <w:vAlign w:val="center"/>
          </w:tcPr>
          <w:p w14:paraId="1F5D2806">
            <w:pPr>
              <w:spacing w:line="240" w:lineRule="auto" w:before="0" w:after="20"/>
              <w:jc w:val="center"/>
            </w:pPr>
            <w:r>
              <w:rPr>
                <w:rFonts w:ascii="Times New Roman" w:hAnsi="Times New Roman" w:eastAsia="Times New Roman" w:cs="Times New Roman"/>
                <w:b/>
                <w:color w:val="000000"/>
                <w:sz w:val="16"/>
              </w:rPr>
              <w:t>ByteTrack HOTA</w:t>
            </w:r>
          </w:p>
        </w:tc>
        <w:tc>
          <w:tcPr>
            <w:tcW w:w="1296" w:type="dxa"/>
            <w:tcBorders>
              <w:top w:val="single" w:color="000000" w:sz="8" w:space="0"/>
              <w:left w:val="nil"/>
              <w:bottom w:val="single" w:color="000000" w:sz="6" w:space="0"/>
              <w:right w:val="nil"/>
            </w:tcBorders>
            <w:vAlign w:val="center"/>
          </w:tcPr>
          <w:p w14:paraId="05461DDD">
            <w:pPr>
              <w:spacing w:line="240" w:lineRule="auto" w:before="0" w:after="20"/>
              <w:jc w:val="center"/>
            </w:pPr>
            <w:r>
              <w:rPr>
                <w:rFonts w:ascii="Times New Roman" w:hAnsi="Times New Roman" w:eastAsia="Times New Roman" w:cs="Times New Roman"/>
                <w:b/>
                <w:color w:val="000000"/>
                <w:sz w:val="16"/>
              </w:rPr>
              <w:t>ByteTrack IDF1</w:t>
            </w:r>
          </w:p>
        </w:tc>
      </w:tr>
      <w:tr w14:paraId="459F46AC">
        <w:tc>
          <w:tcPr>
            <w:tcW w:w="1296" w:type="dxa"/>
            <w:tcBorders>
              <w:top w:val="nil"/>
              <w:left w:val="nil"/>
              <w:bottom w:val="nil"/>
              <w:right w:val="nil"/>
            </w:tcBorders>
            <w:vAlign w:val="center"/>
          </w:tcPr>
          <w:p w14:paraId="0C82EDBB">
            <w:pPr>
              <w:spacing w:line="240" w:lineRule="auto" w:before="0" w:after="20"/>
              <w:jc w:val="left"/>
            </w:pPr>
          </w:p>
        </w:tc>
        <w:tc>
          <w:tcPr>
            <w:tcW w:w="1296" w:type="dxa"/>
            <w:tcBorders>
              <w:top w:val="nil"/>
              <w:left w:val="nil"/>
              <w:bottom w:val="nil"/>
              <w:right w:val="nil"/>
            </w:tcBorders>
            <w:vAlign w:val="center"/>
          </w:tcPr>
          <w:p w14:paraId="51AE03BC">
            <w:pPr>
              <w:spacing w:line="240" w:lineRule="auto" w:before="0" w:after="20"/>
              <w:jc w:val="center"/>
            </w:pPr>
            <w:r>
              <w:rPr>
                <w:rFonts w:ascii="Times New Roman" w:hAnsi="Times New Roman" w:eastAsia="Times New Roman" w:cs="Times New Roman"/>
                <w:color w:val="000000"/>
                <w:sz w:val="16"/>
              </w:rPr>
              <w:t>35.707</w:t>
            </w:r>
          </w:p>
        </w:tc>
        <w:tc>
          <w:tcPr>
            <w:tcW w:w="1296" w:type="dxa"/>
            <w:tcBorders>
              <w:top w:val="nil"/>
              <w:left w:val="nil"/>
              <w:bottom w:val="nil"/>
              <w:right w:val="nil"/>
            </w:tcBorders>
            <w:vAlign w:val="center"/>
          </w:tcPr>
          <w:p w14:paraId="10275A1A">
            <w:pPr>
              <w:spacing w:line="240" w:lineRule="auto" w:before="0" w:after="20"/>
              <w:jc w:val="center"/>
            </w:pPr>
            <w:r>
              <w:rPr>
                <w:rFonts w:ascii="Times New Roman" w:hAnsi="Times New Roman" w:eastAsia="Times New Roman" w:cs="Times New Roman"/>
                <w:color w:val="000000"/>
                <w:sz w:val="16"/>
              </w:rPr>
              <w:t>27.959</w:t>
            </w:r>
          </w:p>
        </w:tc>
        <w:tc>
          <w:tcPr>
            <w:tcW w:w="1296" w:type="dxa"/>
            <w:tcBorders>
              <w:top w:val="nil"/>
              <w:left w:val="nil"/>
              <w:bottom w:val="nil"/>
              <w:right w:val="nil"/>
            </w:tcBorders>
            <w:vAlign w:val="center"/>
          </w:tcPr>
          <w:p w14:paraId="21157EAF">
            <w:pPr>
              <w:spacing w:line="240" w:lineRule="auto" w:before="0" w:after="20"/>
              <w:jc w:val="center"/>
            </w:pPr>
            <w:r>
              <w:rPr>
                <w:rFonts w:ascii="Times New Roman" w:hAnsi="Times New Roman" w:eastAsia="Times New Roman" w:cs="Times New Roman"/>
                <w:color w:val="000000"/>
                <w:sz w:val="16"/>
              </w:rPr>
              <w:t>28.299</w:t>
            </w:r>
          </w:p>
        </w:tc>
        <w:tc>
          <w:tcPr>
            <w:tcW w:w="1296" w:type="dxa"/>
            <w:tcBorders>
              <w:top w:val="nil"/>
              <w:left w:val="nil"/>
              <w:bottom w:val="nil"/>
              <w:right w:val="nil"/>
            </w:tcBorders>
            <w:vAlign w:val="center"/>
          </w:tcPr>
          <w:p w14:paraId="72FA1362">
            <w:pPr>
              <w:spacing w:line="240" w:lineRule="auto" w:before="0" w:after="20"/>
              <w:jc w:val="center"/>
            </w:pPr>
            <w:r>
              <w:rPr>
                <w:rFonts w:ascii="Times New Roman" w:hAnsi="Times New Roman" w:eastAsia="Times New Roman" w:cs="Times New Roman"/>
                <w:color w:val="000000"/>
                <w:sz w:val="16"/>
              </w:rPr>
              <w:t>19.257</w:t>
            </w:r>
          </w:p>
        </w:tc>
        <w:tc>
          <w:tcPr>
            <w:tcW w:w="1296" w:type="dxa"/>
            <w:tcBorders>
              <w:top w:val="nil"/>
              <w:left w:val="nil"/>
              <w:bottom w:val="nil"/>
              <w:right w:val="nil"/>
            </w:tcBorders>
            <w:vAlign w:val="center"/>
          </w:tcPr>
          <w:p w14:paraId="22A8A735">
            <w:pPr>
              <w:spacing w:line="240" w:lineRule="auto" w:before="0" w:after="20"/>
              <w:jc w:val="center"/>
            </w:pPr>
            <w:r>
              <w:rPr>
                <w:rFonts w:ascii="Times New Roman" w:hAnsi="Times New Roman" w:eastAsia="Times New Roman" w:cs="Times New Roman"/>
                <w:color w:val="000000"/>
                <w:sz w:val="16"/>
              </w:rPr>
              <w:t>35.557</w:t>
            </w:r>
          </w:p>
        </w:tc>
        <w:tc>
          <w:tcPr>
            <w:tcW w:w="1296" w:type="dxa"/>
            <w:tcBorders>
              <w:top w:val="nil"/>
              <w:left w:val="nil"/>
              <w:bottom w:val="nil"/>
              <w:right w:val="nil"/>
            </w:tcBorders>
            <w:vAlign w:val="center"/>
          </w:tcPr>
          <w:p w14:paraId="087A123A">
            <w:pPr>
              <w:spacing w:line="240" w:lineRule="auto" w:before="0" w:after="20"/>
              <w:jc w:val="center"/>
            </w:pPr>
            <w:r>
              <w:rPr>
                <w:rFonts w:ascii="Times New Roman" w:hAnsi="Times New Roman" w:eastAsia="Times New Roman" w:cs="Times New Roman"/>
                <w:color w:val="000000"/>
                <w:sz w:val="16"/>
              </w:rPr>
              <w:t>27.857</w:t>
            </w:r>
          </w:p>
        </w:tc>
      </w:tr>
      <w:tr w14:paraId="118439FA">
        <w:tblPrEx>
          <w:tblCellMar>
            <w:top w:w="0" w:type="dxa"/>
            <w:left w:w="10" w:type="dxa"/>
            <w:bottom w:w="0" w:type="dxa"/>
            <w:right w:w="10" w:type="dxa"/>
          </w:tblCellMar>
        </w:tblPrEx>
        <w:tc>
          <w:tcPr>
            <w:tcW w:w="1296" w:type="dxa"/>
            <w:tcBorders>
              <w:top w:val="nil"/>
              <w:left w:val="nil"/>
              <w:bottom w:val="single" w:color="000000" w:sz="8" w:space="0"/>
              <w:right w:val="nil"/>
            </w:tcBorders>
            <w:vAlign w:val="center"/>
          </w:tcPr>
          <w:p w14:paraId="06F0CB5A">
            <w:pPr>
              <w:spacing w:line="240" w:lineRule="auto" w:before="0" w:after="20"/>
              <w:jc w:val="left"/>
            </w:pPr>
            <w:r>
              <w:rPr>
                <w:rFonts w:ascii="Times New Roman" w:hAnsi="Times New Roman" w:eastAsia="Times New Roman" w:cs="Times New Roman"/>
                <w:color w:val="000000"/>
                <w:sz w:val="16"/>
              </w:rPr>
              <w:t>0.02</w:t>
            </w:r>
          </w:p>
        </w:tc>
        <w:tc>
          <w:tcPr>
            <w:tcW w:w="1296" w:type="dxa"/>
            <w:tcBorders>
              <w:top w:val="nil"/>
              <w:left w:val="nil"/>
              <w:bottom w:val="single" w:color="000000" w:sz="8" w:space="0"/>
              <w:right w:val="nil"/>
            </w:tcBorders>
            <w:vAlign w:val="center"/>
          </w:tcPr>
          <w:p w14:paraId="6ED84021">
            <w:pPr>
              <w:spacing w:line="240" w:lineRule="auto" w:before="0" w:after="20"/>
              <w:jc w:val="center"/>
            </w:pPr>
            <w:r>
              <w:rPr>
                <w:rFonts w:ascii="Times New Roman" w:hAnsi="Times New Roman" w:eastAsia="Times New Roman" w:cs="Times New Roman"/>
                <w:color w:val="000000"/>
                <w:sz w:val="16"/>
              </w:rPr>
              <w:t>33.474</w:t>
            </w:r>
          </w:p>
        </w:tc>
        <w:tc>
          <w:tcPr>
            <w:tcW w:w="1296" w:type="dxa"/>
            <w:tcBorders>
              <w:top w:val="nil"/>
              <w:left w:val="nil"/>
              <w:bottom w:val="single" w:color="000000" w:sz="8" w:space="0"/>
              <w:right w:val="nil"/>
            </w:tcBorders>
            <w:vAlign w:val="center"/>
          </w:tcPr>
          <w:p w14:paraId="36114F4B">
            <w:pPr>
              <w:spacing w:line="240" w:lineRule="auto" w:before="0" w:after="20"/>
              <w:jc w:val="center"/>
            </w:pPr>
            <w:r>
              <w:rPr>
                <w:rFonts w:ascii="Times New Roman" w:hAnsi="Times New Roman" w:eastAsia="Times New Roman" w:cs="Times New Roman"/>
                <w:color w:val="000000"/>
                <w:sz w:val="16"/>
              </w:rPr>
              <w:t>25.141</w:t>
            </w:r>
          </w:p>
        </w:tc>
        <w:tc>
          <w:tcPr>
            <w:tcW w:w="1296" w:type="dxa"/>
            <w:tcBorders>
              <w:top w:val="nil"/>
              <w:left w:val="nil"/>
              <w:bottom w:val="single" w:color="000000" w:sz="8" w:space="0"/>
              <w:right w:val="nil"/>
            </w:tcBorders>
            <w:vAlign w:val="center"/>
          </w:tcPr>
          <w:p w14:paraId="13F2496A">
            <w:pPr>
              <w:spacing w:line="240" w:lineRule="auto" w:before="0" w:after="20"/>
              <w:jc w:val="center"/>
            </w:pPr>
            <w:r>
              <w:rPr>
                <w:rFonts w:ascii="Times New Roman" w:hAnsi="Times New Roman" w:eastAsia="Times New Roman" w:cs="Times New Roman"/>
                <w:color w:val="000000"/>
                <w:sz w:val="16"/>
              </w:rPr>
              <w:t>24.139</w:t>
            </w:r>
          </w:p>
        </w:tc>
        <w:tc>
          <w:tcPr>
            <w:tcW w:w="1296" w:type="dxa"/>
            <w:tcBorders>
              <w:top w:val="nil"/>
              <w:left w:val="nil"/>
              <w:bottom w:val="single" w:color="000000" w:sz="8" w:space="0"/>
              <w:right w:val="nil"/>
            </w:tcBorders>
            <w:vAlign w:val="center"/>
          </w:tcPr>
          <w:p w14:paraId="663F2178">
            <w:pPr>
              <w:spacing w:line="240" w:lineRule="auto" w:before="0" w:after="20"/>
              <w:jc w:val="center"/>
            </w:pPr>
            <w:r>
              <w:rPr>
                <w:rFonts w:ascii="Times New Roman" w:hAnsi="Times New Roman" w:eastAsia="Times New Roman" w:cs="Times New Roman"/>
                <w:color w:val="000000"/>
                <w:sz w:val="16"/>
              </w:rPr>
              <w:t>14.888</w:t>
            </w:r>
          </w:p>
        </w:tc>
        <w:tc>
          <w:tcPr>
            <w:tcW w:w="1296" w:type="dxa"/>
            <w:tcBorders>
              <w:top w:val="nil"/>
              <w:left w:val="nil"/>
              <w:bottom w:val="single" w:color="000000" w:sz="8" w:space="0"/>
              <w:right w:val="nil"/>
            </w:tcBorders>
            <w:vAlign w:val="center"/>
          </w:tcPr>
          <w:p w14:paraId="1D758A60">
            <w:pPr>
              <w:spacing w:line="240" w:lineRule="auto" w:before="0" w:after="20"/>
              <w:jc w:val="center"/>
            </w:pPr>
            <w:r>
              <w:rPr>
                <w:rFonts w:ascii="Times New Roman" w:hAnsi="Times New Roman" w:eastAsia="Times New Roman" w:cs="Times New Roman"/>
                <w:color w:val="000000"/>
                <w:sz w:val="16"/>
              </w:rPr>
              <w:t>33.382</w:t>
            </w:r>
          </w:p>
        </w:tc>
        <w:tc>
          <w:tcPr>
            <w:tcW w:w="1296" w:type="dxa"/>
            <w:tcBorders>
              <w:top w:val="nil"/>
              <w:left w:val="nil"/>
              <w:bottom w:val="single" w:color="000000" w:sz="8" w:space="0"/>
              <w:right w:val="nil"/>
            </w:tcBorders>
            <w:vAlign w:val="center"/>
          </w:tcPr>
          <w:p w14:paraId="4EAF8D5F">
            <w:pPr>
              <w:spacing w:line="240" w:lineRule="auto" w:before="0" w:after="20"/>
              <w:jc w:val="center"/>
            </w:pPr>
            <w:r>
              <w:rPr>
                <w:rFonts w:ascii="Times New Roman" w:hAnsi="Times New Roman" w:eastAsia="Times New Roman" w:cs="Times New Roman"/>
                <w:color w:val="000000"/>
                <w:sz w:val="16"/>
              </w:rPr>
              <w:t>25.082</w:t>
            </w:r>
          </w:p>
        </w:tc>
      </w:tr>
    </w:tbl>
    <w:p w14:paraId="042A42B1">
      <w:pPr>
        <w:pStyle w:val="49"/>
        <w:keepNext/>
        <w:keepLines w:val="0"/>
        <w:widowControl/>
        <w:spacing w:before="160" w:after="40"/>
        <w:jc w:val="center"/>
      </w:pPr>
      <w:bookmarkStart w:id="33" w:name="fig:degradation"/>
      <w:r>
        <w:rPr>
          <w:rFonts w:ascii="Times New Roman" w:hAnsi="Times New Roman" w:eastAsia="Times New Roman" w:cs="Times New Roman"/>
          <w:color w:val="000000"/>
          <w:sz w:val="20"/>
        </w:rPr>
        <w:drawing>
          <wp:inline distT="0" distB="0" distL="114300" distR="114300">
            <wp:extent cx="4267200" cy="231781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267200" cy="2317816"/>
                    </a:xfrm>
                    <a:prstGeom prst="rect">
                      <a:avLst/>
                    </a:prstGeom>
                  </pic:spPr>
                </pic:pic>
              </a:graphicData>
            </a:graphic>
          </wp:inline>
        </w:drawing>
      </w:r>
    </w:p>
    <w:p w14:paraId="3A8E90A1">
      <w:pPr>
        <w:pStyle w:val="47"/>
        <w:keepNext w:val="0"/>
        <w:keepLines w:val="0"/>
        <w:widowControl/>
        <w:jc w:val="left"/>
      </w:pPr>
      <w:r>
        <w:rPr>
          <w:rFonts w:ascii="Times New Roman" w:hAnsi="Times New Roman" w:eastAsia="Times New Roman" w:cs="Times New Roman"/>
          <w:color w:val="000000"/>
          <w:sz w:val="20"/>
        </w:rPr>
        <w:t>Controlled degradation curves (Base, +gating, ByteTrack).</w:t>
      </w:r>
    </w:p>
    <w:bookmarkEnd w:id="32"/>
    <w:bookmarkEnd w:id="33"/>
    <w:p w14:paraId="741F5A8B">
      <w:pPr>
        <w:pStyle w:val="4"/>
        <w:keepNext/>
        <w:keepLines w:val="0"/>
        <w:widowControl/>
        <w:jc w:val="left"/>
      </w:pPr>
      <w:bookmarkStart w:id="34" w:name="Xa0f4c5a6a9b3afeb4a0b3a5e7afeac92513cacc"/>
      <w:r>
        <w:rPr>
          <w:rFonts w:ascii="Times New Roman" w:hAnsi="Times New Roman" w:eastAsia="Times New Roman" w:cs="Times New Roman"/>
          <w:b/>
          <w:color w:val="000000"/>
          <w:sz w:val="20"/>
        </w:rPr>
        <w:t>4.4 Gating threshold sensitivity (deployment robustness check)</w:t>
      </w:r>
    </w:p>
    <w:p w14:paraId="2F51E06A">
      <w:pPr>
        <w:pStyle w:val="25"/>
        <w:keepLines w:val="0"/>
        <w:widowControl/>
        <w:spacing w:line="276" w:lineRule="auto" w:before="0" w:after="80"/>
        <w:jc w:val="both"/>
      </w:pPr>
      <w:r>
        <w:rPr>
          <w:rFonts w:ascii="Times New Roman" w:hAnsi="Times New Roman" w:eastAsia="Times New Roman" w:cs="Times New Roman"/>
          <w:color w:val="000000"/>
          <w:sz w:val="20"/>
        </w:rPr>
        <w:t>Using the frozen sensitivity table (seed=0), Base reports HOTA/IDF1/IDSW = 57.831/63.274/79.000, while +gating at thresholds 1000, 2000, and 4000 is identical at 51.469/55.202/130.875. Relative to Base, this corresponds to -6.362 HOTA, -8.072 IDF1, and +51.875 IDSW for all three threshold points. The overlap of 1000/2000/4000 defines a candidate plateau interval under the current split/seed.</w:t>
      </w:r>
      <w:r>
        <w:rPr>
          <w:rFonts w:ascii="Times New Roman" w:hAnsi="Times New Roman" w:eastAsia="Times New Roman" w:cs="Times New Roman"/>
          <w:b w:val="0"/>
          <w:i w:val="0"/>
          <w:color w:val="000000"/>
          <w:sz w:val="20"/>
        </w:rPr>
        <w:t xml:space="preserve"> We therefore use 2000 as the default operating point within this interval, while the activation analysis in Section 5.5 is intended to assess whether this pattern reflects true threshold insensitivity or limited score support in the sampled data.</w:t>
      </w:r>
    </w:p>
    <w:tbl>
      <w:tblPr>
        <w:tblStyle w:val="19"/>
        <w:tblW w:w="0" w:type="auto"/>
        <w:jc w:val="center"/>
        <w:tblInd w:w="0" w:type="dxa"/>
        <w:tblLayout w:type="autofit"/>
        <w:tblCellMar>
          <w:top w:w="0" w:type="dxa"/>
          <w:left w:w="10" w:type="dxa"/>
          <w:bottom w:w="0" w:type="dxa"/>
          <w:right w:w="10" w:type="dxa"/>
        </w:tblCellMar>
      </w:tblPr>
      <w:tblGrid>
        <w:gridCol w:w="1292"/>
        <w:gridCol w:w="1293"/>
        <w:gridCol w:w="1292"/>
        <w:gridCol w:w="1292"/>
        <w:gridCol w:w="1292"/>
        <w:gridCol w:w="1292"/>
        <w:gridCol w:w="1293"/>
      </w:tblGrid>
      <w:tr w14:paraId="50DA5795">
        <w:tblPrEx>
          <w:tblCellMar>
            <w:top w:w="0" w:type="dxa"/>
            <w:left w:w="10" w:type="dxa"/>
            <w:bottom w:w="0" w:type="dxa"/>
            <w:right w:w="10" w:type="dxa"/>
          </w:tblCellMar>
        </w:tblPrEx>
        <w:tc>
          <w:tcPr>
            <w:tcW w:w="1296" w:type="dxa"/>
            <w:tcBorders>
              <w:top w:val="single" w:color="000000" w:sz="8" w:space="0"/>
              <w:left w:val="nil"/>
              <w:bottom w:val="single" w:color="000000" w:sz="6" w:space="0"/>
              <w:right w:val="nil"/>
            </w:tcBorders>
            <w:vAlign w:val="center"/>
          </w:tcPr>
          <w:p w14:paraId="2C5B9F85">
            <w:pPr>
              <w:spacing w:line="240" w:lineRule="auto" w:before="0" w:after="20"/>
              <w:jc w:val="left"/>
            </w:pPr>
            <w:r>
              <w:rPr>
                <w:rFonts w:ascii="Times New Roman" w:hAnsi="Times New Roman" w:eastAsia="Times New Roman" w:cs="Times New Roman"/>
                <w:b/>
                <w:color w:val="000000"/>
                <w:sz w:val="16"/>
              </w:rPr>
              <w:t>Method</w:t>
            </w:r>
          </w:p>
        </w:tc>
        <w:tc>
          <w:tcPr>
            <w:tcW w:w="1296" w:type="dxa"/>
            <w:tcBorders>
              <w:top w:val="single" w:color="000000" w:sz="8" w:space="0"/>
              <w:left w:val="nil"/>
              <w:bottom w:val="single" w:color="000000" w:sz="6" w:space="0"/>
              <w:right w:val="nil"/>
            </w:tcBorders>
            <w:vAlign w:val="center"/>
          </w:tcPr>
          <w:p w14:paraId="19470243">
            <w:pPr>
              <w:spacing w:line="240" w:lineRule="auto" w:before="0" w:after="20"/>
              <w:jc w:val="center"/>
            </w:pPr>
            <w:r>
              <w:rPr>
                <w:rFonts w:ascii="Times New Roman" w:hAnsi="Times New Roman" w:eastAsia="Times New Roman" w:cs="Times New Roman"/>
                <w:b/>
                <w:color w:val="000000"/>
                <w:sz w:val="16"/>
              </w:rPr>
              <w:t>Gating threshold</w:t>
            </w:r>
          </w:p>
        </w:tc>
        <w:tc>
          <w:tcPr>
            <w:tcW w:w="1296" w:type="dxa"/>
            <w:tcBorders>
              <w:top w:val="single" w:color="000000" w:sz="8" w:space="0"/>
              <w:left w:val="nil"/>
              <w:bottom w:val="single" w:color="000000" w:sz="6" w:space="0"/>
              <w:right w:val="nil"/>
            </w:tcBorders>
            <w:vAlign w:val="center"/>
          </w:tcPr>
          <w:p w14:paraId="33129FE9">
            <w:pPr>
              <w:spacing w:line="240" w:lineRule="auto" w:before="0" w:after="20"/>
              <w:jc w:val="center"/>
            </w:pPr>
            <w:r>
              <w:rPr>
                <w:rFonts w:ascii="Times New Roman" w:hAnsi="Times New Roman" w:eastAsia="Times New Roman" w:cs="Times New Roman"/>
                <w:b/>
                <w:color w:val="000000"/>
                <w:sz w:val="16"/>
              </w:rPr>
              <w:t>HOTA</w:t>
            </w:r>
          </w:p>
        </w:tc>
        <w:tc>
          <w:tcPr>
            <w:tcW w:w="1296" w:type="dxa"/>
            <w:tcBorders>
              <w:top w:val="single" w:color="000000" w:sz="8" w:space="0"/>
              <w:left w:val="nil"/>
              <w:bottom w:val="single" w:color="000000" w:sz="6" w:space="0"/>
              <w:right w:val="nil"/>
            </w:tcBorders>
            <w:vAlign w:val="center"/>
          </w:tcPr>
          <w:p w14:paraId="5F5B0051">
            <w:pPr>
              <w:spacing w:line="240" w:lineRule="auto" w:before="0" w:after="20"/>
              <w:jc w:val="center"/>
            </w:pPr>
            <w:r>
              <w:rPr>
                <w:rFonts w:ascii="Times New Roman" w:hAnsi="Times New Roman" w:eastAsia="Times New Roman" w:cs="Times New Roman"/>
                <w:b/>
                <w:color w:val="000000"/>
                <w:sz w:val="16"/>
              </w:rPr>
              <w:t>DetA</w:t>
            </w:r>
          </w:p>
        </w:tc>
        <w:tc>
          <w:tcPr>
            <w:tcW w:w="1296" w:type="dxa"/>
            <w:tcBorders>
              <w:top w:val="single" w:color="000000" w:sz="8" w:space="0"/>
              <w:left w:val="nil"/>
              <w:bottom w:val="single" w:color="000000" w:sz="6" w:space="0"/>
              <w:right w:val="nil"/>
            </w:tcBorders>
            <w:vAlign w:val="center"/>
          </w:tcPr>
          <w:p w14:paraId="485EFED2">
            <w:pPr>
              <w:spacing w:line="240" w:lineRule="auto" w:before="0" w:after="20"/>
              <w:jc w:val="center"/>
            </w:pPr>
            <w:r>
              <w:rPr>
                <w:rFonts w:ascii="Times New Roman" w:hAnsi="Times New Roman" w:eastAsia="Times New Roman" w:cs="Times New Roman"/>
                <w:b/>
                <w:color w:val="000000"/>
                <w:sz w:val="16"/>
              </w:rPr>
              <w:t>AssA</w:t>
            </w:r>
          </w:p>
        </w:tc>
        <w:tc>
          <w:tcPr>
            <w:tcW w:w="1296" w:type="dxa"/>
            <w:tcBorders>
              <w:top w:val="single" w:color="000000" w:sz="8" w:space="0"/>
              <w:left w:val="nil"/>
              <w:bottom w:val="single" w:color="000000" w:sz="6" w:space="0"/>
              <w:right w:val="nil"/>
            </w:tcBorders>
            <w:vAlign w:val="center"/>
          </w:tcPr>
          <w:p w14:paraId="2B8C1160">
            <w:pPr>
              <w:spacing w:line="240" w:lineRule="auto" w:before="0" w:after="20"/>
              <w:jc w:val="center"/>
            </w:pPr>
            <w:r>
              <w:rPr>
                <w:rFonts w:ascii="Times New Roman" w:hAnsi="Times New Roman" w:eastAsia="Times New Roman" w:cs="Times New Roman"/>
                <w:b/>
                <w:color w:val="000000"/>
                <w:sz w:val="16"/>
              </w:rPr>
              <w:t>IDF1</w:t>
            </w:r>
          </w:p>
        </w:tc>
        <w:tc>
          <w:tcPr>
            <w:tcW w:w="1296" w:type="dxa"/>
            <w:tcBorders>
              <w:top w:val="single" w:color="000000" w:sz="8" w:space="0"/>
              <w:left w:val="nil"/>
              <w:bottom w:val="single" w:color="000000" w:sz="6" w:space="0"/>
              <w:right w:val="nil"/>
            </w:tcBorders>
            <w:vAlign w:val="center"/>
          </w:tcPr>
          <w:p w14:paraId="04B8315C">
            <w:pPr>
              <w:spacing w:line="240" w:lineRule="auto" w:before="0" w:after="20"/>
              <w:jc w:val="center"/>
            </w:pPr>
            <w:r>
              <w:rPr>
                <w:rFonts w:ascii="Times New Roman" w:hAnsi="Times New Roman" w:eastAsia="Times New Roman" w:cs="Times New Roman"/>
                <w:b/>
                <w:color w:val="000000"/>
                <w:sz w:val="16"/>
              </w:rPr>
              <w:t>IDSW</w:t>
            </w:r>
          </w:p>
        </w:tc>
      </w:tr>
      <w:tr w14:paraId="084C023E">
        <w:tblPrEx>
          <w:tblCellMar>
            <w:top w:w="0" w:type="dxa"/>
            <w:left w:w="10" w:type="dxa"/>
            <w:bottom w:w="0" w:type="dxa"/>
            <w:right w:w="10" w:type="dxa"/>
          </w:tblCellMar>
        </w:tblPrEx>
        <w:tc>
          <w:tcPr>
            <w:tcW w:w="1296" w:type="dxa"/>
            <w:tcBorders>
              <w:top w:val="nil"/>
              <w:left w:val="nil"/>
              <w:bottom w:val="nil"/>
              <w:right w:val="nil"/>
            </w:tcBorders>
            <w:vAlign w:val="center"/>
          </w:tcPr>
          <w:p w14:paraId="571EF033">
            <w:pPr>
              <w:spacing w:line="240" w:lineRule="auto" w:before="0" w:after="20"/>
              <w:jc w:val="left"/>
            </w:pPr>
            <w:r>
              <w:rPr>
                <w:rFonts w:ascii="Times New Roman" w:hAnsi="Times New Roman" w:eastAsia="Times New Roman" w:cs="Times New Roman"/>
                <w:color w:val="000000"/>
                <w:sz w:val="16"/>
              </w:rPr>
              <w:t>Base</w:t>
            </w:r>
          </w:p>
        </w:tc>
        <w:tc>
          <w:tcPr>
            <w:tcW w:w="1296" w:type="dxa"/>
            <w:tcBorders>
              <w:top w:val="nil"/>
              <w:left w:val="nil"/>
              <w:bottom w:val="nil"/>
              <w:right w:val="nil"/>
            </w:tcBorders>
            <w:vAlign w:val="center"/>
          </w:tcPr>
          <w:p w14:paraId="16EA7003">
            <w:pPr>
              <w:spacing w:line="240" w:lineRule="auto" w:before="0" w:after="20"/>
              <w:jc w:val="center"/>
            </w:pPr>
            <w:r>
              <w:rPr>
                <w:rFonts w:ascii="Times New Roman" w:hAnsi="Times New Roman" w:eastAsia="Times New Roman" w:cs="Times New Roman"/>
                <w:color w:val="000000"/>
                <w:sz w:val="16"/>
              </w:rPr>
              <w:t>N/A</w:t>
            </w:r>
          </w:p>
        </w:tc>
        <w:tc>
          <w:tcPr>
            <w:tcW w:w="1296" w:type="dxa"/>
            <w:tcBorders>
              <w:top w:val="nil"/>
              <w:left w:val="nil"/>
              <w:bottom w:val="nil"/>
              <w:right w:val="nil"/>
            </w:tcBorders>
            <w:vAlign w:val="center"/>
          </w:tcPr>
          <w:p w14:paraId="1F83B4E2">
            <w:pPr>
              <w:spacing w:line="240" w:lineRule="auto" w:before="0" w:after="20"/>
              <w:jc w:val="center"/>
            </w:pPr>
            <w:r>
              <w:rPr>
                <w:rFonts w:ascii="Times New Roman" w:hAnsi="Times New Roman" w:eastAsia="Times New Roman" w:cs="Times New Roman"/>
                <w:color w:val="000000"/>
                <w:sz w:val="16"/>
              </w:rPr>
              <w:t>57.831</w:t>
            </w:r>
          </w:p>
        </w:tc>
        <w:tc>
          <w:tcPr>
            <w:tcW w:w="1296" w:type="dxa"/>
            <w:tcBorders>
              <w:top w:val="nil"/>
              <w:left w:val="nil"/>
              <w:bottom w:val="nil"/>
              <w:right w:val="nil"/>
            </w:tcBorders>
            <w:vAlign w:val="center"/>
          </w:tcPr>
          <w:p w14:paraId="706DBC23">
            <w:pPr>
              <w:spacing w:line="240" w:lineRule="auto" w:before="0" w:after="20"/>
              <w:jc w:val="center"/>
            </w:pPr>
            <w:r>
              <w:rPr>
                <w:rFonts w:ascii="Times New Roman" w:hAnsi="Times New Roman" w:eastAsia="Times New Roman" w:cs="Times New Roman"/>
                <w:color w:val="000000"/>
                <w:sz w:val="16"/>
              </w:rPr>
              <w:t>73.140</w:t>
            </w:r>
          </w:p>
        </w:tc>
        <w:tc>
          <w:tcPr>
            <w:tcW w:w="1296" w:type="dxa"/>
            <w:tcBorders>
              <w:top w:val="nil"/>
              <w:left w:val="nil"/>
              <w:bottom w:val="nil"/>
              <w:right w:val="nil"/>
            </w:tcBorders>
            <w:vAlign w:val="center"/>
          </w:tcPr>
          <w:p w14:paraId="74D9814E">
            <w:pPr>
              <w:spacing w:line="240" w:lineRule="auto" w:before="0" w:after="20"/>
              <w:jc w:val="center"/>
            </w:pPr>
            <w:r>
              <w:rPr>
                <w:rFonts w:ascii="Times New Roman" w:hAnsi="Times New Roman" w:eastAsia="Times New Roman" w:cs="Times New Roman"/>
                <w:color w:val="000000"/>
                <w:sz w:val="16"/>
              </w:rPr>
              <w:t>47.320</w:t>
            </w:r>
          </w:p>
        </w:tc>
        <w:tc>
          <w:tcPr>
            <w:tcW w:w="1296" w:type="dxa"/>
            <w:tcBorders>
              <w:top w:val="nil"/>
              <w:left w:val="nil"/>
              <w:bottom w:val="nil"/>
              <w:right w:val="nil"/>
            </w:tcBorders>
            <w:vAlign w:val="center"/>
          </w:tcPr>
          <w:p w14:paraId="615BFF0A">
            <w:pPr>
              <w:spacing w:line="240" w:lineRule="auto" w:before="0" w:after="20"/>
              <w:jc w:val="center"/>
            </w:pPr>
            <w:r>
              <w:rPr>
                <w:rFonts w:ascii="Times New Roman" w:hAnsi="Times New Roman" w:eastAsia="Times New Roman" w:cs="Times New Roman"/>
                <w:color w:val="000000"/>
                <w:sz w:val="16"/>
              </w:rPr>
              <w:t>63.274</w:t>
            </w:r>
          </w:p>
        </w:tc>
        <w:tc>
          <w:tcPr>
            <w:tcW w:w="1296" w:type="dxa"/>
            <w:tcBorders>
              <w:top w:val="nil"/>
              <w:left w:val="nil"/>
              <w:bottom w:val="nil"/>
              <w:right w:val="nil"/>
            </w:tcBorders>
            <w:vAlign w:val="center"/>
          </w:tcPr>
          <w:p w14:paraId="5D032604">
            <w:pPr>
              <w:spacing w:line="240" w:lineRule="auto" w:before="0" w:after="20"/>
              <w:jc w:val="center"/>
            </w:pPr>
            <w:r>
              <w:rPr>
                <w:rFonts w:ascii="Times New Roman" w:hAnsi="Times New Roman" w:eastAsia="Times New Roman" w:cs="Times New Roman"/>
                <w:color w:val="000000"/>
                <w:sz w:val="16"/>
              </w:rPr>
              <w:t>79.000</w:t>
            </w:r>
          </w:p>
        </w:tc>
      </w:tr>
      <w:tr w14:paraId="63BD6B45">
        <w:tblPrEx>
          <w:tblCellMar>
            <w:top w:w="0" w:type="dxa"/>
            <w:left w:w="10" w:type="dxa"/>
            <w:bottom w:w="0" w:type="dxa"/>
            <w:right w:w="10" w:type="dxa"/>
          </w:tblCellMar>
        </w:tblPrEx>
        <w:tc>
          <w:tcPr>
            <w:tcW w:w="1296" w:type="dxa"/>
            <w:tcBorders>
              <w:top w:val="nil"/>
              <w:left w:val="nil"/>
              <w:bottom w:val="nil"/>
              <w:right w:val="nil"/>
            </w:tcBorders>
            <w:vAlign w:val="center"/>
          </w:tcPr>
          <w:p w14:paraId="06A966B4">
            <w:pPr>
              <w:spacing w:line="240" w:lineRule="auto" w:before="0" w:after="20"/>
              <w:jc w:val="left"/>
            </w:pPr>
            <w:r>
              <w:rPr>
                <w:rFonts w:ascii="Times New Roman" w:hAnsi="Times New Roman" w:eastAsia="Times New Roman" w:cs="Times New Roman"/>
                <w:color w:val="000000"/>
                <w:sz w:val="16"/>
              </w:rPr>
              <w:t>+gating</w:t>
            </w:r>
          </w:p>
        </w:tc>
        <w:tc>
          <w:tcPr>
            <w:tcW w:w="1296" w:type="dxa"/>
            <w:tcBorders>
              <w:top w:val="nil"/>
              <w:left w:val="nil"/>
              <w:bottom w:val="nil"/>
              <w:right w:val="nil"/>
            </w:tcBorders>
            <w:vAlign w:val="center"/>
          </w:tcPr>
          <w:p w14:paraId="03C077F9">
            <w:pPr>
              <w:spacing w:line="240" w:lineRule="auto" w:before="0" w:after="20"/>
              <w:jc w:val="center"/>
            </w:pPr>
            <w:r>
              <w:rPr>
                <w:rFonts w:ascii="Times New Roman" w:hAnsi="Times New Roman" w:eastAsia="Times New Roman" w:cs="Times New Roman"/>
                <w:color w:val="000000"/>
                <w:sz w:val="16"/>
              </w:rPr>
              <w:t>1000</w:t>
            </w:r>
          </w:p>
        </w:tc>
        <w:tc>
          <w:tcPr>
            <w:tcW w:w="1296" w:type="dxa"/>
            <w:tcBorders>
              <w:top w:val="nil"/>
              <w:left w:val="nil"/>
              <w:bottom w:val="nil"/>
              <w:right w:val="nil"/>
            </w:tcBorders>
            <w:vAlign w:val="center"/>
          </w:tcPr>
          <w:p w14:paraId="1EC5BD5A">
            <w:pPr>
              <w:spacing w:line="240" w:lineRule="auto" w:before="0" w:after="20"/>
              <w:jc w:val="center"/>
            </w:pPr>
            <w:r>
              <w:rPr>
                <w:rFonts w:ascii="Times New Roman" w:hAnsi="Times New Roman" w:eastAsia="Times New Roman" w:cs="Times New Roman"/>
                <w:color w:val="000000"/>
                <w:sz w:val="16"/>
              </w:rPr>
              <w:t>51.469</w:t>
            </w:r>
          </w:p>
        </w:tc>
        <w:tc>
          <w:tcPr>
            <w:tcW w:w="1296" w:type="dxa"/>
            <w:tcBorders>
              <w:top w:val="nil"/>
              <w:left w:val="nil"/>
              <w:bottom w:val="nil"/>
              <w:right w:val="nil"/>
            </w:tcBorders>
            <w:vAlign w:val="center"/>
          </w:tcPr>
          <w:p w14:paraId="2A4E4FCA">
            <w:pPr>
              <w:spacing w:line="240" w:lineRule="auto" w:before="0" w:after="20"/>
              <w:jc w:val="center"/>
            </w:pPr>
            <w:r>
              <w:rPr>
                <w:rFonts w:ascii="Times New Roman" w:hAnsi="Times New Roman" w:eastAsia="Times New Roman" w:cs="Times New Roman"/>
                <w:color w:val="000000"/>
                <w:sz w:val="16"/>
              </w:rPr>
              <w:t>72.524</w:t>
            </w:r>
          </w:p>
        </w:tc>
        <w:tc>
          <w:tcPr>
            <w:tcW w:w="1296" w:type="dxa"/>
            <w:tcBorders>
              <w:top w:val="nil"/>
              <w:left w:val="nil"/>
              <w:bottom w:val="nil"/>
              <w:right w:val="nil"/>
            </w:tcBorders>
            <w:vAlign w:val="center"/>
          </w:tcPr>
          <w:p w14:paraId="471A4770">
            <w:pPr>
              <w:spacing w:line="240" w:lineRule="auto" w:before="0" w:after="20"/>
              <w:jc w:val="center"/>
            </w:pPr>
            <w:r>
              <w:rPr>
                <w:rFonts w:ascii="Times New Roman" w:hAnsi="Times New Roman" w:eastAsia="Times New Roman" w:cs="Times New Roman"/>
                <w:color w:val="000000"/>
                <w:sz w:val="16"/>
              </w:rPr>
              <w:t>39.015</w:t>
            </w:r>
          </w:p>
        </w:tc>
        <w:tc>
          <w:tcPr>
            <w:tcW w:w="1296" w:type="dxa"/>
            <w:tcBorders>
              <w:top w:val="nil"/>
              <w:left w:val="nil"/>
              <w:bottom w:val="nil"/>
              <w:right w:val="nil"/>
            </w:tcBorders>
            <w:vAlign w:val="center"/>
          </w:tcPr>
          <w:p w14:paraId="57405919">
            <w:pPr>
              <w:spacing w:line="240" w:lineRule="auto" w:before="0" w:after="20"/>
              <w:jc w:val="center"/>
            </w:pPr>
            <w:r>
              <w:rPr>
                <w:rFonts w:ascii="Times New Roman" w:hAnsi="Times New Roman" w:eastAsia="Times New Roman" w:cs="Times New Roman"/>
                <w:color w:val="000000"/>
                <w:sz w:val="16"/>
              </w:rPr>
              <w:t>55.202</w:t>
            </w:r>
          </w:p>
        </w:tc>
        <w:tc>
          <w:tcPr>
            <w:tcW w:w="1296" w:type="dxa"/>
            <w:tcBorders>
              <w:top w:val="nil"/>
              <w:left w:val="nil"/>
              <w:bottom w:val="nil"/>
              <w:right w:val="nil"/>
            </w:tcBorders>
            <w:vAlign w:val="center"/>
          </w:tcPr>
          <w:p w14:paraId="2B085FC3">
            <w:pPr>
              <w:spacing w:line="240" w:lineRule="auto" w:before="0" w:after="20"/>
              <w:jc w:val="center"/>
            </w:pPr>
            <w:r>
              <w:rPr>
                <w:rFonts w:ascii="Times New Roman" w:hAnsi="Times New Roman" w:eastAsia="Times New Roman" w:cs="Times New Roman"/>
                <w:color w:val="000000"/>
                <w:sz w:val="16"/>
              </w:rPr>
              <w:t>130.875</w:t>
            </w:r>
          </w:p>
        </w:tc>
      </w:tr>
      <w:tr w14:paraId="54453B35">
        <w:tblPrEx>
          <w:tblCellMar>
            <w:top w:w="0" w:type="dxa"/>
            <w:left w:w="10" w:type="dxa"/>
            <w:bottom w:w="0" w:type="dxa"/>
            <w:right w:w="10" w:type="dxa"/>
          </w:tblCellMar>
        </w:tblPrEx>
        <w:tc>
          <w:tcPr>
            <w:tcW w:w="1296" w:type="dxa"/>
            <w:tcBorders>
              <w:top w:val="nil"/>
              <w:left w:val="nil"/>
              <w:bottom w:val="nil"/>
              <w:right w:val="nil"/>
            </w:tcBorders>
            <w:vAlign w:val="center"/>
          </w:tcPr>
          <w:p w14:paraId="5358CD9C">
            <w:pPr>
              <w:spacing w:line="240" w:lineRule="auto" w:before="0" w:after="20"/>
              <w:jc w:val="left"/>
            </w:pPr>
            <w:r>
              <w:rPr>
                <w:rFonts w:ascii="Times New Roman" w:hAnsi="Times New Roman" w:eastAsia="Times New Roman" w:cs="Times New Roman"/>
                <w:color w:val="000000"/>
                <w:sz w:val="16"/>
              </w:rPr>
              <w:t>+gating</w:t>
            </w:r>
          </w:p>
        </w:tc>
        <w:tc>
          <w:tcPr>
            <w:tcW w:w="1296" w:type="dxa"/>
            <w:tcBorders>
              <w:top w:val="nil"/>
              <w:left w:val="nil"/>
              <w:bottom w:val="nil"/>
              <w:right w:val="nil"/>
            </w:tcBorders>
            <w:vAlign w:val="center"/>
          </w:tcPr>
          <w:p w14:paraId="4A30FD14">
            <w:pPr>
              <w:spacing w:line="240" w:lineRule="auto" w:before="0" w:after="20"/>
              <w:jc w:val="center"/>
            </w:pPr>
            <w:r>
              <w:rPr>
                <w:rFonts w:ascii="Times New Roman" w:hAnsi="Times New Roman" w:eastAsia="Times New Roman" w:cs="Times New Roman"/>
                <w:color w:val="000000"/>
                <w:sz w:val="16"/>
              </w:rPr>
              <w:t>2000</w:t>
            </w:r>
          </w:p>
        </w:tc>
        <w:tc>
          <w:tcPr>
            <w:tcW w:w="1296" w:type="dxa"/>
            <w:tcBorders>
              <w:top w:val="nil"/>
              <w:left w:val="nil"/>
              <w:bottom w:val="nil"/>
              <w:right w:val="nil"/>
            </w:tcBorders>
            <w:vAlign w:val="center"/>
          </w:tcPr>
          <w:p w14:paraId="7EE82C3D">
            <w:pPr>
              <w:spacing w:line="240" w:lineRule="auto" w:before="0" w:after="20"/>
              <w:jc w:val="center"/>
            </w:pPr>
            <w:r>
              <w:rPr>
                <w:rFonts w:ascii="Times New Roman" w:hAnsi="Times New Roman" w:eastAsia="Times New Roman" w:cs="Times New Roman"/>
                <w:color w:val="000000"/>
                <w:sz w:val="16"/>
              </w:rPr>
              <w:t>51.469</w:t>
            </w:r>
          </w:p>
        </w:tc>
        <w:tc>
          <w:tcPr>
            <w:tcW w:w="1296" w:type="dxa"/>
            <w:tcBorders>
              <w:top w:val="nil"/>
              <w:left w:val="nil"/>
              <w:bottom w:val="nil"/>
              <w:right w:val="nil"/>
            </w:tcBorders>
            <w:vAlign w:val="center"/>
          </w:tcPr>
          <w:p w14:paraId="385870EF">
            <w:pPr>
              <w:spacing w:line="240" w:lineRule="auto" w:before="0" w:after="20"/>
              <w:jc w:val="center"/>
            </w:pPr>
            <w:r>
              <w:rPr>
                <w:rFonts w:ascii="Times New Roman" w:hAnsi="Times New Roman" w:eastAsia="Times New Roman" w:cs="Times New Roman"/>
                <w:color w:val="000000"/>
                <w:sz w:val="16"/>
              </w:rPr>
              <w:t>72.524</w:t>
            </w:r>
          </w:p>
        </w:tc>
        <w:tc>
          <w:tcPr>
            <w:tcW w:w="1296" w:type="dxa"/>
            <w:tcBorders>
              <w:top w:val="nil"/>
              <w:left w:val="nil"/>
              <w:bottom w:val="nil"/>
              <w:right w:val="nil"/>
            </w:tcBorders>
            <w:vAlign w:val="center"/>
          </w:tcPr>
          <w:p w14:paraId="4681527B">
            <w:pPr>
              <w:spacing w:line="240" w:lineRule="auto" w:before="0" w:after="20"/>
              <w:jc w:val="center"/>
            </w:pPr>
            <w:r>
              <w:rPr>
                <w:rFonts w:ascii="Times New Roman" w:hAnsi="Times New Roman" w:eastAsia="Times New Roman" w:cs="Times New Roman"/>
                <w:color w:val="000000"/>
                <w:sz w:val="16"/>
              </w:rPr>
              <w:t>39.015</w:t>
            </w:r>
          </w:p>
        </w:tc>
        <w:tc>
          <w:tcPr>
            <w:tcW w:w="1296" w:type="dxa"/>
            <w:tcBorders>
              <w:top w:val="nil"/>
              <w:left w:val="nil"/>
              <w:bottom w:val="nil"/>
              <w:right w:val="nil"/>
            </w:tcBorders>
            <w:vAlign w:val="center"/>
          </w:tcPr>
          <w:p w14:paraId="79EA5BB9">
            <w:pPr>
              <w:spacing w:line="240" w:lineRule="auto" w:before="0" w:after="20"/>
              <w:jc w:val="center"/>
            </w:pPr>
            <w:r>
              <w:rPr>
                <w:rFonts w:ascii="Times New Roman" w:hAnsi="Times New Roman" w:eastAsia="Times New Roman" w:cs="Times New Roman"/>
                <w:color w:val="000000"/>
                <w:sz w:val="16"/>
              </w:rPr>
              <w:t>55.202</w:t>
            </w:r>
          </w:p>
        </w:tc>
        <w:tc>
          <w:tcPr>
            <w:tcW w:w="1296" w:type="dxa"/>
            <w:tcBorders>
              <w:top w:val="nil"/>
              <w:left w:val="nil"/>
              <w:bottom w:val="nil"/>
              <w:right w:val="nil"/>
            </w:tcBorders>
            <w:vAlign w:val="center"/>
          </w:tcPr>
          <w:p w14:paraId="77BB66CC">
            <w:pPr>
              <w:spacing w:line="240" w:lineRule="auto" w:before="0" w:after="20"/>
              <w:jc w:val="center"/>
            </w:pPr>
            <w:r>
              <w:rPr>
                <w:rFonts w:ascii="Times New Roman" w:hAnsi="Times New Roman" w:eastAsia="Times New Roman" w:cs="Times New Roman"/>
                <w:color w:val="000000"/>
                <w:sz w:val="16"/>
              </w:rPr>
              <w:t>130.875</w:t>
            </w:r>
          </w:p>
        </w:tc>
      </w:tr>
      <w:tr w14:paraId="6C974BA0">
        <w:tblPrEx>
          <w:tblCellMar>
            <w:top w:w="0" w:type="dxa"/>
            <w:left w:w="10" w:type="dxa"/>
            <w:bottom w:w="0" w:type="dxa"/>
            <w:right w:w="10" w:type="dxa"/>
          </w:tblCellMar>
        </w:tblPrEx>
        <w:tc>
          <w:tcPr>
            <w:tcW w:w="1296" w:type="dxa"/>
            <w:tcBorders>
              <w:top w:val="nil"/>
              <w:left w:val="nil"/>
              <w:bottom w:val="single" w:color="000000" w:sz="8" w:space="0"/>
              <w:right w:val="nil"/>
            </w:tcBorders>
            <w:vAlign w:val="center"/>
          </w:tcPr>
          <w:p w14:paraId="2B84B860">
            <w:pPr>
              <w:spacing w:line="240" w:lineRule="auto" w:before="0" w:after="20"/>
              <w:jc w:val="left"/>
            </w:pPr>
            <w:r>
              <w:rPr>
                <w:rFonts w:ascii="Times New Roman" w:hAnsi="Times New Roman" w:eastAsia="Times New Roman" w:cs="Times New Roman"/>
                <w:color w:val="000000"/>
                <w:sz w:val="16"/>
              </w:rPr>
              <w:t>+gating</w:t>
            </w:r>
          </w:p>
        </w:tc>
        <w:tc>
          <w:tcPr>
            <w:tcW w:w="1296" w:type="dxa"/>
            <w:tcBorders>
              <w:top w:val="nil"/>
              <w:left w:val="nil"/>
              <w:bottom w:val="single" w:color="000000" w:sz="8" w:space="0"/>
              <w:right w:val="nil"/>
            </w:tcBorders>
            <w:vAlign w:val="center"/>
          </w:tcPr>
          <w:p w14:paraId="54BF1BD7">
            <w:pPr>
              <w:spacing w:line="240" w:lineRule="auto" w:before="0" w:after="20"/>
              <w:jc w:val="center"/>
            </w:pPr>
            <w:r>
              <w:rPr>
                <w:rFonts w:ascii="Times New Roman" w:hAnsi="Times New Roman" w:eastAsia="Times New Roman" w:cs="Times New Roman"/>
                <w:color w:val="000000"/>
                <w:sz w:val="16"/>
              </w:rPr>
              <w:t>4000</w:t>
            </w:r>
          </w:p>
        </w:tc>
        <w:tc>
          <w:tcPr>
            <w:tcW w:w="1296" w:type="dxa"/>
            <w:tcBorders>
              <w:top w:val="nil"/>
              <w:left w:val="nil"/>
              <w:bottom w:val="single" w:color="000000" w:sz="8" w:space="0"/>
              <w:right w:val="nil"/>
            </w:tcBorders>
            <w:vAlign w:val="center"/>
          </w:tcPr>
          <w:p w14:paraId="114808FB">
            <w:pPr>
              <w:spacing w:line="240" w:lineRule="auto" w:before="0" w:after="20"/>
              <w:jc w:val="center"/>
            </w:pPr>
            <w:r>
              <w:rPr>
                <w:rFonts w:ascii="Times New Roman" w:hAnsi="Times New Roman" w:eastAsia="Times New Roman" w:cs="Times New Roman"/>
                <w:color w:val="000000"/>
                <w:sz w:val="16"/>
              </w:rPr>
              <w:t>51.469</w:t>
            </w:r>
          </w:p>
        </w:tc>
        <w:tc>
          <w:tcPr>
            <w:tcW w:w="1296" w:type="dxa"/>
            <w:tcBorders>
              <w:top w:val="nil"/>
              <w:left w:val="nil"/>
              <w:bottom w:val="single" w:color="000000" w:sz="8" w:space="0"/>
              <w:right w:val="nil"/>
            </w:tcBorders>
            <w:vAlign w:val="center"/>
          </w:tcPr>
          <w:p w14:paraId="3FC4E168">
            <w:pPr>
              <w:spacing w:line="240" w:lineRule="auto" w:before="0" w:after="20"/>
              <w:jc w:val="center"/>
            </w:pPr>
            <w:r>
              <w:rPr>
                <w:rFonts w:ascii="Times New Roman" w:hAnsi="Times New Roman" w:eastAsia="Times New Roman" w:cs="Times New Roman"/>
                <w:color w:val="000000"/>
                <w:sz w:val="16"/>
              </w:rPr>
              <w:t>72.524</w:t>
            </w:r>
          </w:p>
        </w:tc>
        <w:tc>
          <w:tcPr>
            <w:tcW w:w="1296" w:type="dxa"/>
            <w:tcBorders>
              <w:top w:val="nil"/>
              <w:left w:val="nil"/>
              <w:bottom w:val="single" w:color="000000" w:sz="8" w:space="0"/>
              <w:right w:val="nil"/>
            </w:tcBorders>
            <w:vAlign w:val="center"/>
          </w:tcPr>
          <w:p w14:paraId="5A76B5C3">
            <w:pPr>
              <w:spacing w:line="240" w:lineRule="auto" w:before="0" w:after="20"/>
              <w:jc w:val="center"/>
            </w:pPr>
            <w:r>
              <w:rPr>
                <w:rFonts w:ascii="Times New Roman" w:hAnsi="Times New Roman" w:eastAsia="Times New Roman" w:cs="Times New Roman"/>
                <w:color w:val="000000"/>
                <w:sz w:val="16"/>
              </w:rPr>
              <w:t>39.015</w:t>
            </w:r>
          </w:p>
        </w:tc>
        <w:tc>
          <w:tcPr>
            <w:tcW w:w="1296" w:type="dxa"/>
            <w:tcBorders>
              <w:top w:val="nil"/>
              <w:left w:val="nil"/>
              <w:bottom w:val="single" w:color="000000" w:sz="8" w:space="0"/>
              <w:right w:val="nil"/>
            </w:tcBorders>
            <w:vAlign w:val="center"/>
          </w:tcPr>
          <w:p w14:paraId="19A75936">
            <w:pPr>
              <w:spacing w:line="240" w:lineRule="auto" w:before="0" w:after="20"/>
              <w:jc w:val="center"/>
            </w:pPr>
            <w:r>
              <w:rPr>
                <w:rFonts w:ascii="Times New Roman" w:hAnsi="Times New Roman" w:eastAsia="Times New Roman" w:cs="Times New Roman"/>
                <w:color w:val="000000"/>
                <w:sz w:val="16"/>
              </w:rPr>
              <w:t>55.202</w:t>
            </w:r>
          </w:p>
        </w:tc>
        <w:tc>
          <w:tcPr>
            <w:tcW w:w="1296" w:type="dxa"/>
            <w:tcBorders>
              <w:top w:val="nil"/>
              <w:left w:val="nil"/>
              <w:bottom w:val="single" w:color="000000" w:sz="8" w:space="0"/>
              <w:right w:val="nil"/>
            </w:tcBorders>
            <w:vAlign w:val="center"/>
          </w:tcPr>
          <w:p w14:paraId="43567CAA">
            <w:pPr>
              <w:spacing w:line="240" w:lineRule="auto" w:before="0" w:after="20"/>
              <w:jc w:val="center"/>
            </w:pPr>
            <w:r>
              <w:rPr>
                <w:rFonts w:ascii="Times New Roman" w:hAnsi="Times New Roman" w:eastAsia="Times New Roman" w:cs="Times New Roman"/>
                <w:color w:val="000000"/>
                <w:sz w:val="16"/>
              </w:rPr>
              <w:t>130.875</w:t>
            </w:r>
          </w:p>
        </w:tc>
      </w:tr>
    </w:tbl>
    <w:p w14:paraId="3CFAB1B2">
      <w:pPr>
        <w:pStyle w:val="49"/>
        <w:keepNext/>
        <w:keepLines w:val="0"/>
        <w:widowControl/>
        <w:spacing w:before="160" w:after="40"/>
        <w:jc w:val="center"/>
      </w:pPr>
      <w:bookmarkStart w:id="35" w:name="fig:gating_sensitivity"/>
      <w:r>
        <w:rPr>
          <w:rFonts w:ascii="Times New Roman" w:hAnsi="Times New Roman" w:eastAsia="Times New Roman" w:cs="Times New Roman"/>
          <w:color w:val="000000"/>
          <w:sz w:val="20"/>
        </w:rPr>
        <w:drawing>
          <wp:inline distT="0" distB="0" distL="114300" distR="114300">
            <wp:extent cx="4480560" cy="241426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480560" cy="2414262"/>
                    </a:xfrm>
                    <a:prstGeom prst="rect">
                      <a:avLst/>
                    </a:prstGeom>
                  </pic:spPr>
                </pic:pic>
              </a:graphicData>
            </a:graphic>
          </wp:inline>
        </w:drawing>
      </w:r>
    </w:p>
    <w:p w14:paraId="42366594">
      <w:pPr>
        <w:pStyle w:val="47"/>
        <w:keepNext w:val="0"/>
        <w:keepLines w:val="0"/>
        <w:widowControl/>
        <w:jc w:val="left"/>
      </w:pPr>
      <w:r>
        <w:rPr>
          <w:rFonts w:ascii="Times New Roman" w:hAnsi="Times New Roman" w:eastAsia="Times New Roman" w:cs="Times New Roman"/>
          <w:color w:val="000000"/>
          <w:sz w:val="20"/>
        </w:rPr>
        <w:t>Sensitivity of +gating to threshold values (1000/2000/4000) at seed=0.</w:t>
      </w:r>
    </w:p>
    <w:bookmarkEnd w:id="34"/>
    <w:bookmarkEnd w:id="35"/>
    <w:p w14:paraId="3D61616E">
      <w:pPr>
        <w:pStyle w:val="4"/>
        <w:keepNext/>
        <w:keepLines w:val="0"/>
        <w:widowControl/>
        <w:jc w:val="left"/>
      </w:pPr>
      <w:bookmarkStart w:id="36" w:name="sec:gating_activation"/>
      <w:r>
        <w:rPr>
          <w:rFonts w:ascii="Times New Roman" w:hAnsi="Times New Roman" w:eastAsia="Times New Roman" w:cs="Times New Roman"/>
          <w:b/>
          <w:color w:val="000000"/>
          <w:sz w:val="20"/>
        </w:rPr>
        <w:t>4.5 Gating activation analysis</w:t>
      </w:r>
    </w:p>
    <w:p w14:paraId="06D70855">
      <w:pPr>
        <w:pStyle w:val="25"/>
        <w:keepLines w:val="0"/>
        <w:widowControl/>
        <w:spacing w:line="276" w:lineRule="auto" w:before="0" w:after="80"/>
        <w:jc w:val="both"/>
        <w:rPr>
          <w:rFonts w:hint="eastAsia" w:eastAsia="宋体"/>
          <w:lang w:val="en-US" w:eastAsia="zh-CN"/>
        </w:rPr>
      </w:pPr>
      <w:r>
        <w:rPr>
          <w:rFonts w:ascii="Times New Roman" w:hAnsi="Times New Roman" w:eastAsia="Times New Roman" w:cs="Times New Roman"/>
          <w:color w:val="000000"/>
        </w:rPr>
        <w:t>To further interpret the candidate plateau interval, we analyze activation-level diagnostics of the gating mechanism.</w:t>
      </w:r>
      <w:r>
        <w:rPr>
          <w:rFonts w:ascii="Times New Roman" w:hAnsi="Times New Roman" w:eastAsia="Times New Roman" w:cs="Times New Roman"/>
          <w:color w:val="000000"/>
          <w:sz w:val="20"/>
        </w:rPr>
        <w:t xml:space="preserve"> </w:t>
      </w:r>
      <w:r>
        <w:rPr>
          <w:rFonts w:ascii="Times New Roman" w:hAnsi="Times New Roman" w:eastAsia="Times New Roman" w:cs="Times New Roman"/>
          <w:color w:val="000000"/>
        </w:rPr>
        <w:t>In the current implementation, the association cost is defined as</w:t>
      </w:r>
      <w:r>
        <w:rPr>
          <w:rFonts w:hint="eastAsia" w:eastAsia="Times New Roman" w:ascii="Times New Roman" w:hAnsi="Times New Roman" w:cs="Times New Roman"/>
          <w:color w:val="000000"/>
          <w:lang w:val="en-US" w:eastAsia="zh-CN"/>
        </w:rPr>
        <w:t>:</w:t>
      </w:r>
    </w:p>
    <w:p w14:paraId="5BB281B2">
      <w:pPr>
        <w:pStyle w:val="25"/>
        <w:keepLines w:val="0"/>
        <w:widowControl/>
        <w:spacing w:before="0" w:after="80" w:line="276" w:lineRule="auto"/>
        <w:ind w:firstLine="0"/>
        <w:jc w:val="both"/>
      </w:pPr>
      <m:oMathPara>
        <m:oMathParaPr>
          <m:jc m:val="center"/>
        </m:oMathParaPr>
        <m:oMath>
          <m:sSub>
            <m:sSubPr/>
            <m:e>
              <m:r>
                <m:rPr/>
                <m:t>C</m:t>
              </m:r>
            </m:e>
            <m:sub>
              <m:r>
                <m:rPr/>
                <m:t>ij</m:t>
              </m:r>
            </m:sub>
          </m:sSub>
          <m:r>
            <m:rPr>
              <m:sty m:val="p"/>
            </m:rPr>
            <m:t>=</m:t>
          </m:r>
          <m:r>
            <m:rPr/>
            <m:t>α</m:t>
          </m:r>
          <m:d>
            <m:dPr>
              <m:sepChr m:val=""/>
            </m:dPr>
            <m:e>
              <m:r>
                <m:rPr/>
                <m:t>1</m:t>
              </m:r>
              <m:r>
                <m:rPr>
                  <m:sty m:val="p"/>
                </m:rPr>
                <m:t>−</m:t>
              </m:r>
              <m:sSub>
                <m:sSubPr/>
                <m:e>
                  <m:r>
                    <m:rPr>
                      <m:sty m:val="p"/>
                    </m:rPr>
                    <m:t>IoU</m:t>
                  </m:r>
                </m:e>
                <m:sub>
                  <m:r>
                    <m:rPr/>
                    <m:t>ij</m:t>
                  </m:r>
                </m:sub>
              </m:sSub>
            </m:e>
          </m:d>
          <m:r>
            <m:rPr>
              <m:sty m:val="p"/>
            </m:rPr>
            <m:t>+</m:t>
          </m:r>
          <m:r>
            <m:rPr/>
            <m:t>β </m:t>
          </m:r>
          <m:sSubSup>
            <m:sSubSupPr/>
            <m:e>
              <m:r>
                <m:rPr/>
                <m:t>d</m:t>
              </m:r>
            </m:e>
            <m:sub>
              <m:r>
                <m:rPr>
                  <m:sty m:val="p"/>
                </m:rPr>
                <m:t>maha,</m:t>
              </m:r>
              <m:r>
                <m:rPr/>
                <m:t>ij</m:t>
              </m:r>
            </m:sub>
            <m:sup>
              <m:r>
                <m:rPr/>
                <m:t>2</m:t>
              </m:r>
            </m:sup>
          </m:sSubSup>
          <m:r>
            <m:rPr>
              <m:sty m:val="p"/>
            </m:rPr>
            <m:t>+</m:t>
          </m:r>
          <m:r>
            <m:rPr/>
            <m:t>γ </m:t>
          </m:r>
          <m:sSubSup>
            <m:sSubSupPr/>
            <m:e>
              <m:r>
                <m:rPr/>
                <m:t>c</m:t>
              </m:r>
            </m:e>
            <m:sub>
              <m:r>
                <m:rPr/>
                <m:t>ij</m:t>
              </m:r>
            </m:sub>
            <m:sup>
              <m:r>
                <m:rPr>
                  <m:nor/>
                  <m:sty m:val="p"/>
                </m:rPr>
                <w:rPr>
                  <w:b w:val="0"/>
                  <w:i w:val="0"/>
                </w:rPr>
                <m:t>traj</m:t>
              </m:r>
            </m:sup>
          </m:sSubSup>
        </m:oMath>
      </m:oMathPara>
    </w:p>
    <w:p w14:paraId="29D3DB7B">
      <w:pPr>
        <w:pStyle w:val="25"/>
        <w:keepLines w:val="0"/>
        <w:widowControl/>
        <w:spacing w:line="276" w:lineRule="auto" w:before="0" w:after="80"/>
        <w:jc w:val="both"/>
        <w:rPr>
          <w:rFonts w:hint="eastAsia"/>
        </w:rPr>
      </w:pPr>
      <w:r>
        <w:rPr>
          <w:rFonts w:hint="eastAsia" w:ascii="Times New Roman" w:hAnsi="Times New Roman" w:eastAsia="Times New Roman" w:cs="Times New Roman"/>
          <w:color w:val="000000"/>
        </w:rPr>
        <w:t>Candidate pairs are rejected when the gating score exceeds the threshold \tau_g.</w:t>
      </w:r>
      <w:r>
        <w:rPr>
          <w:rFonts w:ascii="Times New Roman" w:hAnsi="Times New Roman" w:eastAsia="Times New Roman" w:cs="Times New Roman"/>
          <w:color w:val="000000"/>
        </w:rPr>
        <w:t xml:space="preserve"> </w:t>
      </w:r>
      <w:r>
        <w:rPr>
          <w:rFonts w:hint="eastAsia" w:ascii="Times New Roman" w:hAnsi="Times New Roman" w:eastAsia="Times New Roman" w:cs="Times New Roman"/>
          <w:color w:val="000000"/>
        </w:rPr>
        <w:t>The gating score is defined as:</w:t>
      </w:r>
    </w:p>
    <w:p w14:paraId="18781990">
      <w:pPr>
        <w:pStyle w:val="25"/>
        <w:keepLines w:val="0"/>
        <w:widowControl/>
        <w:spacing w:before="0" w:after="80" w:line="276" w:lineRule="auto"/>
        <w:ind w:firstLine="0"/>
        <w:jc w:val="both"/>
      </w:pPr>
      <m:oMathPara>
        <m:oMathParaPr>
          <m:jc m:val="center"/>
        </m:oMathParaPr>
        <m:oMath>
          <m:sSubSup>
            <m:sSubSupPr/>
            <m:e>
              <m:r>
                <m:rPr/>
                <m:t>s</m:t>
              </m:r>
            </m:e>
            <m:sub>
              <m:r>
                <m:rPr/>
                <m:t>ij</m:t>
              </m:r>
            </m:sub>
            <m:sup>
              <m:r>
                <m:rPr>
                  <m:nor/>
                  <m:sty m:val="p"/>
                </m:rPr>
                <w:rPr>
                  <w:b w:val="0"/>
                  <w:i w:val="0"/>
                </w:rPr>
                <m:t>gate</m:t>
              </m:r>
            </m:sup>
          </m:sSubSup>
          <m:r>
            <m:rPr>
              <m:sty m:val="p"/>
            </m:rPr>
            <m:t>=</m:t>
          </m:r>
          <m:sSubSup>
            <m:sSubSupPr/>
            <m:e>
              <m:r>
                <m:rPr/>
                <m:t>d</m:t>
              </m:r>
            </m:e>
            <m:sub>
              <m:r>
                <m:rPr>
                  <m:sty m:val="p"/>
                </m:rPr>
                <m:t>maha,</m:t>
              </m:r>
              <m:r>
                <m:rPr/>
                <m:t>ij</m:t>
              </m:r>
            </m:sub>
            <m:sup>
              <m:r>
                <m:rPr/>
                <m:t>2</m:t>
              </m:r>
            </m:sup>
          </m:sSubSup>
        </m:oMath>
      </m:oMathPara>
    </w:p>
    <w:p w14:paraId="38E1D867">
      <w:pPr>
        <w:pStyle w:val="25"/>
        <w:keepLines w:val="0"/>
        <w:widowControl/>
        <w:spacing w:line="276" w:lineRule="auto" w:before="0" w:after="80"/>
        <w:jc w:val="both"/>
      </w:pPr>
      <w:r>
        <w:rPr>
          <w:rFonts w:ascii="Times New Roman" w:hAnsi="Times New Roman" w:eastAsia="Times New Roman" w:cs="Times New Roman"/>
          <w:color w:val="000000"/>
        </w:rPr>
        <w:t>where both the gating score and threshold τ_g are unitless squared-Mahalanobis quantities (computed in the association step).</w:t>
      </w:r>
    </w:p>
    <w:p w14:paraId="6C435C39">
      <w:pPr>
        <w:keepLines w:val="0"/>
        <w:widowControl/>
        <w:numPr>
          <w:numId w:val="0"/>
        </w:numPr>
        <w:spacing w:line="276" w:lineRule="auto" w:before="0" w:after="80"/>
        <w:jc w:val="both"/>
      </w:pPr>
      <w:r>
        <w:rPr>
          <w:rFonts w:ascii="Times New Roman" w:hAnsi="Times New Roman" w:eastAsia="Times New Roman" w:cs="Times New Roman"/>
          <w:color w:val="000000"/>
          <w:sz w:val="20"/>
        </w:rPr>
        <w:t>To characterize the behavior of the gating mechanism under different thresholds, we consider the following activation-level statistics:</w:t>
      </w:r>
    </w:p>
    <w:p w14:paraId="1FE451DA">
      <w:pPr>
        <w:pStyle w:val="25"/>
        <w:keepLines w:val="0"/>
        <w:widowControl/>
        <w:spacing w:line="276" w:lineRule="auto" w:before="0" w:after="80"/>
        <w:jc w:val="both"/>
        <w:rPr>
          <w:rFonts w:ascii="Times New Roman" w:hAnsi="Times New Roman"/>
          <w:sz w:val="20"/>
        </w:rPr>
      </w:pPr>
      <w:r>
        <w:rPr>
          <w:rFonts w:ascii="Times New Roman" w:hAnsi="Times New Roman" w:eastAsia="Times New Roman" w:cs="Times New Roman"/>
          <w:color w:val="000000"/>
          <w:sz w:val="20"/>
        </w:rPr>
        <w:t>These statistics include the trigger rate at both the frame and sequence levels, the distribution of trigger-event lengths measured as consecutive activated frames, and the distribution of gating scores summarized by cumulative distribution functions or histograms with threshold markers.</w:t>
      </w:r>
    </w:p>
    <w:p w14:paraId="5F165C2F">
      <w:pPr>
        <w:pStyle w:val="6"/>
        <w:keepNext/>
        <w:keepLines w:val="0"/>
        <w:widowControl/>
        <w:jc w:val="left"/>
        <w:rPr>
          <w:rFonts w:ascii="Times New Roman" w:hAnsi="Times New Roman" w:eastAsia="Times New Roman" w:cs="Times New Roman"/>
          <w:b w:val="0"/>
          <w:iCs w:val="0"/>
          <w:color w:val="000000"/>
          <w:sz w:val="20"/>
          <w:szCs w:val="24"/>
          <w:lang w:val="en-US" w:eastAsia="zh-CN" w:bidi="ar-SA"/>
        </w:rPr>
      </w:pPr>
      <w:bookmarkStart w:id="37" w:name="planned-figurestables-todo."/>
      <w:r>
        <w:rPr>
          <w:rFonts w:ascii="Times New Roman" w:hAnsi="Times New Roman" w:eastAsia="Times New Roman" w:cs="Times New Roman"/>
          <w:b w:val="0"/>
          <w:iCs w:val="0"/>
          <w:color w:val="000000"/>
          <w:sz w:val="20"/>
          <w:szCs w:val="24"/>
          <w:lang w:val="en-US" w:eastAsia="zh-CN" w:bidi="ar-SA"/>
        </w:rPr>
        <w:t>To avoid threshold choices based only on manually specified constants, the sweep range is defined using score quantiles, for example from the 5th to the 95th percentile.</w:t>
      </w:r>
    </w:p>
    <w:bookmarkEnd w:id="37"/>
    <w:bookmarkEnd w:id="36"/>
    <w:bookmarkEnd w:id="38"/>
    <w:p w14:paraId="3C3527CF">
      <w:pPr>
        <w:pStyle w:val="4"/>
        <w:keepNext/>
        <w:keepLines w:val="0"/>
        <w:widowControl/>
        <w:jc w:val="left"/>
      </w:pPr>
      <w:bookmarkStart w:id="39" w:name="stratified-difficulty-and-failure-modes"/>
      <w:r>
        <w:rPr>
          <w:rFonts w:ascii="Times New Roman" w:hAnsi="Times New Roman" w:eastAsia="Times New Roman" w:cs="Times New Roman"/>
          <w:b/>
          <w:color w:val="000000"/>
          <w:sz w:val="20"/>
        </w:rPr>
        <w:t>4.6 Stratified difficulty and failure modes</w:t>
      </w:r>
    </w:p>
    <w:p w14:paraId="7CF56586">
      <w:pPr>
        <w:pStyle w:val="25"/>
        <w:keepLines w:val="0"/>
        <w:widowControl/>
        <w:spacing w:line="276" w:lineRule="auto" w:before="0" w:after="80"/>
        <w:jc w:val="both"/>
      </w:pPr>
      <w:r>
        <w:rPr>
          <w:rFonts w:ascii="Times New Roman" w:hAnsi="Times New Roman" w:eastAsia="Times New Roman" w:cs="Times New Roman"/>
          <w:color w:val="000000"/>
          <w:sz w:val="20"/>
        </w:rPr>
        <w:t>Figure 6 answers RQ3 by showing bucket-wise metrics. For Base, high-risk buckets include turning (mid) (IDSW=627, CountMAE=4.795), low-confidence (mid) (IDSW=612, CountMAE=4.002), and occlusion (low) (IDSW=569, CountMAE=4.655).</w:t>
      </w:r>
    </w:p>
    <w:p w14:paraId="1AD11675">
      <w:pPr>
        <w:pStyle w:val="3"/>
        <w:keepLines w:val="0"/>
        <w:widowControl/>
        <w:spacing w:line="276" w:lineRule="auto" w:before="0" w:after="80"/>
        <w:jc w:val="both"/>
      </w:pPr>
      <w:r>
        <w:rPr>
          <w:rFonts w:ascii="Times New Roman" w:hAnsi="Times New Roman" w:eastAsia="Times New Roman" w:cs="Times New Roman"/>
          <w:color w:val="000000"/>
          <w:sz w:val="20"/>
        </w:rPr>
        <w:t>Relative to Base, +gating increases IDSW in the low-confidence (mid) bucket from 612 to 984 (+372) and raises CountMAE in occlusion (high) from 1.741 to 1.848 (+0.107). This indicates that low-confidence and turning regimes are key failure modes for identity consistency.</w:t>
      </w:r>
    </w:p>
    <w:p w14:paraId="2D9DEB20">
      <w:pPr>
        <w:pStyle w:val="49"/>
        <w:keepNext/>
        <w:keepLines w:val="0"/>
        <w:widowControl/>
        <w:spacing w:before="160" w:after="40"/>
        <w:jc w:val="center"/>
      </w:pPr>
      <w:bookmarkStart w:id="40" w:name="fig:stratified"/>
      <w:r>
        <w:rPr>
          <w:rFonts w:ascii="Times New Roman" w:hAnsi="Times New Roman" w:eastAsia="Times New Roman" w:cs="Times New Roman"/>
          <w:color w:val="000000"/>
          <w:sz w:val="20"/>
        </w:rPr>
        <w:drawing>
          <wp:inline distT="0" distB="0" distL="114300" distR="114300">
            <wp:extent cx="4800600" cy="352145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800600" cy="3521451"/>
                    </a:xfrm>
                    <a:prstGeom prst="rect">
                      <a:avLst/>
                    </a:prstGeom>
                  </pic:spPr>
                </pic:pic>
              </a:graphicData>
            </a:graphic>
          </wp:inline>
        </w:drawing>
      </w:r>
    </w:p>
    <w:p w14:paraId="04FD9263">
      <w:pPr>
        <w:pStyle w:val="47"/>
        <w:keepNext w:val="0"/>
        <w:keepLines w:val="0"/>
        <w:widowControl/>
        <w:jc w:val="left"/>
      </w:pPr>
      <w:r>
        <w:rPr>
          <w:rFonts w:ascii="Times New Roman" w:hAnsi="Times New Roman" w:eastAsia="Times New Roman" w:cs="Times New Roman"/>
          <w:color w:val="000000"/>
          <w:sz w:val="20"/>
        </w:rPr>
        <w:t>Stratified metrics over occlusion, density, turning, and low-confidence buckets; quantile and fallback notes are reported in stratified_metrics_val.csv.</w:t>
      </w:r>
    </w:p>
    <w:bookmarkEnd w:id="39"/>
    <w:bookmarkEnd w:id="40"/>
    <w:p w14:paraId="3C6EFE2A">
      <w:pPr>
        <w:pStyle w:val="4"/>
        <w:keepNext/>
        <w:keepLines w:val="0"/>
        <w:widowControl/>
        <w:jc w:val="left"/>
      </w:pPr>
      <w:bookmarkStart w:id="41" w:name="counting-stability"/>
      <w:r>
        <w:rPr>
          <w:rFonts w:ascii="Times New Roman" w:hAnsi="Times New Roman" w:eastAsia="Times New Roman" w:cs="Times New Roman"/>
          <w:b/>
          <w:color w:val="000000"/>
          <w:sz w:val="20"/>
        </w:rPr>
        <w:t>4.7 Counting stability</w:t>
      </w:r>
    </w:p>
    <w:p w14:paraId="2064C654">
      <w:pPr>
        <w:pStyle w:val="25"/>
        <w:keepLines w:val="0"/>
        <w:widowControl/>
        <w:spacing w:line="276" w:lineRule="auto" w:before="0" w:after="80"/>
        <w:jc w:val="both"/>
      </w:pPr>
      <w:r>
        <w:rPr>
          <w:rFonts w:ascii="Times New Roman" w:hAnsi="Times New Roman" w:eastAsia="Times New Roman" w:cs="Times New Roman"/>
          <w:color w:val="000000"/>
          <w:sz w:val="20"/>
        </w:rPr>
        <w:t>Table 6 and Fig. 7 answer RQ3 from a counting perspective. Mean CountMAE is 2.321 (Base), 2.379 (+gating), 2.375 (+traj), and 2.371 (+adaptive). Mean CountRMSE follows the same order (2.850, 2.916, 2.911, 2.906).</w:t>
      </w:r>
    </w:p>
    <w:tbl>
      <w:tblPr>
        <w:tblStyle w:val="19"/>
        <w:tblW w:w="0" w:type="auto"/>
        <w:jc w:val="center"/>
        <w:tblInd w:w="0" w:type="dxa"/>
        <w:tblLayout w:type="autofit"/>
        <w:tblCellMar>
          <w:top w:w="0" w:type="dxa"/>
          <w:left w:w="10" w:type="dxa"/>
          <w:bottom w:w="0" w:type="dxa"/>
          <w:right w:w="10" w:type="dxa"/>
        </w:tblCellMar>
      </w:tblPr>
      <w:tblGrid>
        <w:gridCol w:w="1809"/>
        <w:gridCol w:w="1809"/>
        <w:gridCol w:w="1810"/>
        <w:gridCol w:w="1809"/>
        <w:gridCol w:w="1809"/>
      </w:tblGrid>
      <w:tr w14:paraId="444D895B">
        <w:tblPrEx>
          <w:tblCellMar>
            <w:top w:w="0" w:type="dxa"/>
            <w:left w:w="10" w:type="dxa"/>
            <w:bottom w:w="0" w:type="dxa"/>
            <w:right w:w="10" w:type="dxa"/>
          </w:tblCellMar>
        </w:tblPrEx>
        <w:tc>
          <w:tcPr>
            <w:tcW w:w="1814" w:type="dxa"/>
            <w:tcBorders>
              <w:top w:val="single" w:color="000000" w:sz="8" w:space="0"/>
              <w:left w:val="nil"/>
              <w:bottom w:val="single" w:color="000000" w:sz="6" w:space="0"/>
              <w:right w:val="nil"/>
            </w:tcBorders>
            <w:vAlign w:val="center"/>
          </w:tcPr>
          <w:p w14:paraId="113707FB">
            <w:pPr>
              <w:spacing w:line="240" w:lineRule="auto" w:before="0" w:after="20"/>
              <w:jc w:val="left"/>
            </w:pPr>
            <w:r>
              <w:rPr>
                <w:rFonts w:ascii="Times New Roman" w:hAnsi="Times New Roman" w:eastAsia="Times New Roman" w:cs="Times New Roman"/>
                <w:b/>
                <w:color w:val="000000"/>
                <w:sz w:val="19"/>
              </w:rPr>
              <w:t>Method</w:t>
            </w:r>
          </w:p>
        </w:tc>
        <w:tc>
          <w:tcPr>
            <w:tcW w:w="1814" w:type="dxa"/>
            <w:tcBorders>
              <w:top w:val="single" w:color="000000" w:sz="8" w:space="0"/>
              <w:left w:val="nil"/>
              <w:bottom w:val="single" w:color="000000" w:sz="6" w:space="0"/>
              <w:right w:val="nil"/>
            </w:tcBorders>
            <w:vAlign w:val="center"/>
          </w:tcPr>
          <w:p w14:paraId="4123892E">
            <w:pPr>
              <w:spacing w:line="240" w:lineRule="auto" w:before="0" w:after="20"/>
              <w:jc w:val="center"/>
            </w:pPr>
            <w:r>
              <w:rPr>
                <w:rFonts w:ascii="Times New Roman" w:hAnsi="Times New Roman" w:eastAsia="Times New Roman" w:cs="Times New Roman"/>
                <w:b/>
                <w:color w:val="000000"/>
                <w:sz w:val="19"/>
              </w:rPr>
              <w:t>CountMAE</w:t>
            </w:r>
          </w:p>
        </w:tc>
        <w:tc>
          <w:tcPr>
            <w:tcW w:w="1814" w:type="dxa"/>
            <w:tcBorders>
              <w:top w:val="single" w:color="000000" w:sz="8" w:space="0"/>
              <w:left w:val="nil"/>
              <w:bottom w:val="single" w:color="000000" w:sz="6" w:space="0"/>
              <w:right w:val="nil"/>
            </w:tcBorders>
            <w:vAlign w:val="center"/>
          </w:tcPr>
          <w:p w14:paraId="45D57205">
            <w:pPr>
              <w:spacing w:line="240" w:lineRule="auto" w:before="0" w:after="20"/>
              <w:jc w:val="center"/>
            </w:pPr>
            <w:r>
              <w:rPr>
                <w:rFonts w:ascii="Times New Roman" w:hAnsi="Times New Roman" w:eastAsia="Times New Roman" w:cs="Times New Roman"/>
                <w:b/>
                <w:color w:val="000000"/>
                <w:sz w:val="19"/>
              </w:rPr>
              <w:t>CountRMSE</w:t>
            </w:r>
          </w:p>
        </w:tc>
        <w:tc>
          <w:tcPr>
            <w:tcW w:w="1814" w:type="dxa"/>
            <w:tcBorders>
              <w:top w:val="single" w:color="000000" w:sz="8" w:space="0"/>
              <w:left w:val="nil"/>
              <w:bottom w:val="single" w:color="000000" w:sz="6" w:space="0"/>
              <w:right w:val="nil"/>
            </w:tcBorders>
            <w:vAlign w:val="center"/>
          </w:tcPr>
          <w:p w14:paraId="733DBBAA">
            <w:pPr>
              <w:spacing w:line="240" w:lineRule="auto" w:before="0" w:after="20"/>
              <w:jc w:val="center"/>
            </w:pPr>
            <w:r>
              <w:rPr>
                <w:rFonts w:ascii="Times New Roman" w:hAnsi="Times New Roman" w:eastAsia="Times New Roman" w:cs="Times New Roman"/>
                <w:b/>
                <w:color w:val="000000"/>
                <w:sz w:val="19"/>
              </w:rPr>
              <w:t>CountVar</w:t>
            </w:r>
          </w:p>
        </w:tc>
        <w:tc>
          <w:tcPr>
            <w:tcW w:w="1814" w:type="dxa"/>
            <w:tcBorders>
              <w:top w:val="single" w:color="000000" w:sz="8" w:space="0"/>
              <w:left w:val="nil"/>
              <w:bottom w:val="single" w:color="000000" w:sz="6" w:space="0"/>
              <w:right w:val="nil"/>
            </w:tcBorders>
            <w:vAlign w:val="center"/>
          </w:tcPr>
          <w:p w14:paraId="67023284">
            <w:pPr>
              <w:spacing w:line="240" w:lineRule="auto" w:before="0" w:after="20"/>
              <w:jc w:val="center"/>
            </w:pPr>
            <w:r>
              <w:rPr>
                <w:rFonts w:ascii="Times New Roman" w:hAnsi="Times New Roman" w:eastAsia="Times New Roman" w:cs="Times New Roman"/>
                <w:b/>
                <w:color w:val="000000"/>
                <w:sz w:val="19"/>
              </w:rPr>
              <w:t>CountDrift</w:t>
            </w:r>
          </w:p>
        </w:tc>
      </w:tr>
      <w:tr w14:paraId="5D6F5735">
        <w:tblPrEx>
          <w:tblCellMar>
            <w:top w:w="0" w:type="dxa"/>
            <w:left w:w="10" w:type="dxa"/>
            <w:bottom w:w="0" w:type="dxa"/>
            <w:right w:w="10" w:type="dxa"/>
          </w:tblCellMar>
        </w:tblPrEx>
        <w:tc>
          <w:tcPr>
            <w:tcW w:w="1814" w:type="dxa"/>
            <w:tcBorders>
              <w:top w:val="nil"/>
              <w:left w:val="nil"/>
              <w:bottom w:val="nil"/>
              <w:right w:val="nil"/>
            </w:tcBorders>
            <w:vAlign w:val="center"/>
          </w:tcPr>
          <w:p w14:paraId="223ECA52">
            <w:pPr>
              <w:spacing w:line="240" w:lineRule="auto" w:before="0" w:after="20"/>
              <w:jc w:val="left"/>
            </w:pPr>
            <w:r>
              <w:rPr>
                <w:rFonts w:ascii="Times New Roman" w:hAnsi="Times New Roman" w:eastAsia="Times New Roman" w:cs="Times New Roman"/>
                <w:color w:val="000000"/>
                <w:sz w:val="19"/>
              </w:rPr>
              <w:t>Base</w:t>
            </w:r>
          </w:p>
        </w:tc>
        <w:tc>
          <w:tcPr>
            <w:tcW w:w="1814" w:type="dxa"/>
            <w:tcBorders>
              <w:top w:val="nil"/>
              <w:left w:val="nil"/>
              <w:bottom w:val="nil"/>
              <w:right w:val="nil"/>
            </w:tcBorders>
            <w:vAlign w:val="center"/>
          </w:tcPr>
          <w:p w14:paraId="05898D02">
            <w:pPr>
              <w:spacing w:line="240" w:lineRule="auto" w:before="0" w:after="20"/>
              <w:jc w:val="center"/>
            </w:pPr>
            <w:r>
              <w:rPr>
                <w:rFonts w:ascii="Times New Roman" w:hAnsi="Times New Roman" w:eastAsia="Times New Roman" w:cs="Times New Roman"/>
                <w:color w:val="000000"/>
                <w:sz w:val="19"/>
              </w:rPr>
              <w:t>2.321</w:t>
            </w:r>
          </w:p>
        </w:tc>
        <w:tc>
          <w:tcPr>
            <w:tcW w:w="1814" w:type="dxa"/>
            <w:tcBorders>
              <w:top w:val="nil"/>
              <w:left w:val="nil"/>
              <w:bottom w:val="nil"/>
              <w:right w:val="nil"/>
            </w:tcBorders>
            <w:vAlign w:val="center"/>
          </w:tcPr>
          <w:p w14:paraId="1957D64B">
            <w:pPr>
              <w:spacing w:line="240" w:lineRule="auto" w:before="0" w:after="20"/>
              <w:jc w:val="center"/>
            </w:pPr>
            <w:r>
              <w:rPr>
                <w:rFonts w:ascii="Times New Roman" w:hAnsi="Times New Roman" w:eastAsia="Times New Roman" w:cs="Times New Roman"/>
                <w:color w:val="000000"/>
                <w:sz w:val="19"/>
              </w:rPr>
              <w:t>2.850</w:t>
            </w:r>
          </w:p>
        </w:tc>
        <w:tc>
          <w:tcPr>
            <w:tcW w:w="1814" w:type="dxa"/>
            <w:tcBorders>
              <w:top w:val="nil"/>
              <w:left w:val="nil"/>
              <w:bottom w:val="nil"/>
              <w:right w:val="nil"/>
            </w:tcBorders>
            <w:vAlign w:val="center"/>
          </w:tcPr>
          <w:p w14:paraId="4E67E461">
            <w:pPr>
              <w:spacing w:line="240" w:lineRule="auto" w:before="0" w:after="20"/>
              <w:jc w:val="center"/>
            </w:pPr>
            <w:r>
              <w:rPr>
                <w:rFonts w:ascii="Times New Roman" w:hAnsi="Times New Roman" w:eastAsia="Times New Roman" w:cs="Times New Roman"/>
                <w:color w:val="000000"/>
                <w:sz w:val="19"/>
              </w:rPr>
              <w:t>3.746</w:t>
            </w:r>
          </w:p>
        </w:tc>
        <w:tc>
          <w:tcPr>
            <w:tcW w:w="1814" w:type="dxa"/>
            <w:tcBorders>
              <w:top w:val="nil"/>
              <w:left w:val="nil"/>
              <w:bottom w:val="nil"/>
              <w:right w:val="nil"/>
            </w:tcBorders>
            <w:vAlign w:val="center"/>
          </w:tcPr>
          <w:p w14:paraId="31F82F3F">
            <w:pPr>
              <w:spacing w:line="240" w:lineRule="auto" w:before="0" w:after="20"/>
              <w:jc w:val="center"/>
            </w:pPr>
            <w:r>
              <w:rPr>
                <w:rFonts w:ascii="Times New Roman" w:hAnsi="Times New Roman" w:eastAsia="Times New Roman" w:cs="Times New Roman"/>
                <w:color w:val="000000"/>
                <w:sz w:val="19"/>
              </w:rPr>
              <w:t>2.075</w:t>
            </w:r>
          </w:p>
        </w:tc>
      </w:tr>
      <w:tr w14:paraId="68E3746F">
        <w:tblPrEx>
          <w:tblCellMar>
            <w:top w:w="0" w:type="dxa"/>
            <w:left w:w="10" w:type="dxa"/>
            <w:bottom w:w="0" w:type="dxa"/>
            <w:right w:w="10" w:type="dxa"/>
          </w:tblCellMar>
        </w:tblPrEx>
        <w:tc>
          <w:tcPr>
            <w:tcW w:w="1814" w:type="dxa"/>
            <w:tcBorders>
              <w:top w:val="nil"/>
              <w:left w:val="nil"/>
              <w:bottom w:val="nil"/>
              <w:right w:val="nil"/>
            </w:tcBorders>
            <w:vAlign w:val="center"/>
          </w:tcPr>
          <w:p w14:paraId="28335124">
            <w:pPr>
              <w:spacing w:line="240" w:lineRule="auto" w:before="0" w:after="20"/>
              <w:jc w:val="left"/>
            </w:pPr>
            <w:r>
              <w:rPr>
                <w:rFonts w:ascii="Times New Roman" w:hAnsi="Times New Roman" w:eastAsia="Times New Roman" w:cs="Times New Roman"/>
                <w:color w:val="000000"/>
                <w:sz w:val="19"/>
              </w:rPr>
              <w:t>+gating</w:t>
            </w:r>
          </w:p>
        </w:tc>
        <w:tc>
          <w:tcPr>
            <w:tcW w:w="1814" w:type="dxa"/>
            <w:tcBorders>
              <w:top w:val="nil"/>
              <w:left w:val="nil"/>
              <w:bottom w:val="nil"/>
              <w:right w:val="nil"/>
            </w:tcBorders>
            <w:vAlign w:val="center"/>
          </w:tcPr>
          <w:p w14:paraId="5B21D3E9">
            <w:pPr>
              <w:spacing w:line="240" w:lineRule="auto" w:before="0" w:after="20"/>
              <w:jc w:val="center"/>
            </w:pPr>
            <w:r>
              <w:rPr>
                <w:rFonts w:ascii="Times New Roman" w:hAnsi="Times New Roman" w:eastAsia="Times New Roman" w:cs="Times New Roman"/>
                <w:color w:val="000000"/>
                <w:sz w:val="19"/>
              </w:rPr>
              <w:t>2.379</w:t>
            </w:r>
          </w:p>
        </w:tc>
        <w:tc>
          <w:tcPr>
            <w:tcW w:w="1814" w:type="dxa"/>
            <w:tcBorders>
              <w:top w:val="nil"/>
              <w:left w:val="nil"/>
              <w:bottom w:val="nil"/>
              <w:right w:val="nil"/>
            </w:tcBorders>
            <w:vAlign w:val="center"/>
          </w:tcPr>
          <w:p w14:paraId="1AD5E9CF">
            <w:pPr>
              <w:spacing w:line="240" w:lineRule="auto" w:before="0" w:after="20"/>
              <w:jc w:val="center"/>
            </w:pPr>
            <w:r>
              <w:rPr>
                <w:rFonts w:ascii="Times New Roman" w:hAnsi="Times New Roman" w:eastAsia="Times New Roman" w:cs="Times New Roman"/>
                <w:color w:val="000000"/>
                <w:sz w:val="19"/>
              </w:rPr>
              <w:t>2.916</w:t>
            </w:r>
          </w:p>
        </w:tc>
        <w:tc>
          <w:tcPr>
            <w:tcW w:w="1814" w:type="dxa"/>
            <w:tcBorders>
              <w:top w:val="nil"/>
              <w:left w:val="nil"/>
              <w:bottom w:val="nil"/>
              <w:right w:val="nil"/>
            </w:tcBorders>
            <w:vAlign w:val="center"/>
          </w:tcPr>
          <w:p w14:paraId="6E7C26E9">
            <w:pPr>
              <w:spacing w:line="240" w:lineRule="auto" w:before="0" w:after="20"/>
              <w:jc w:val="center"/>
            </w:pPr>
            <w:r>
              <w:rPr>
                <w:rFonts w:ascii="Times New Roman" w:hAnsi="Times New Roman" w:eastAsia="Times New Roman" w:cs="Times New Roman"/>
                <w:color w:val="000000"/>
                <w:sz w:val="19"/>
              </w:rPr>
              <w:t>3.825</w:t>
            </w:r>
          </w:p>
        </w:tc>
        <w:tc>
          <w:tcPr>
            <w:tcW w:w="1814" w:type="dxa"/>
            <w:tcBorders>
              <w:top w:val="nil"/>
              <w:left w:val="nil"/>
              <w:bottom w:val="nil"/>
              <w:right w:val="nil"/>
            </w:tcBorders>
            <w:vAlign w:val="center"/>
          </w:tcPr>
          <w:p w14:paraId="7B77E41D">
            <w:pPr>
              <w:spacing w:line="240" w:lineRule="auto" w:before="0" w:after="20"/>
              <w:jc w:val="center"/>
            </w:pPr>
            <w:r>
              <w:rPr>
                <w:rFonts w:ascii="Times New Roman" w:hAnsi="Times New Roman" w:eastAsia="Times New Roman" w:cs="Times New Roman"/>
                <w:color w:val="000000"/>
                <w:sz w:val="19"/>
              </w:rPr>
              <w:t>2.075</w:t>
            </w:r>
          </w:p>
        </w:tc>
      </w:tr>
      <w:tr w14:paraId="77C0D899">
        <w:tblPrEx>
          <w:tblCellMar>
            <w:top w:w="0" w:type="dxa"/>
            <w:left w:w="10" w:type="dxa"/>
            <w:bottom w:w="0" w:type="dxa"/>
            <w:right w:w="10" w:type="dxa"/>
          </w:tblCellMar>
        </w:tblPrEx>
        <w:tc>
          <w:tcPr>
            <w:tcW w:w="1814" w:type="dxa"/>
            <w:tcBorders>
              <w:top w:val="nil"/>
              <w:left w:val="nil"/>
              <w:bottom w:val="nil"/>
              <w:right w:val="nil"/>
            </w:tcBorders>
            <w:vAlign w:val="center"/>
          </w:tcPr>
          <w:p w14:paraId="20803DE8">
            <w:pPr>
              <w:spacing w:line="240" w:lineRule="auto" w:before="0" w:after="20"/>
              <w:jc w:val="left"/>
            </w:pPr>
            <w:r>
              <w:rPr>
                <w:rFonts w:ascii="Times New Roman" w:hAnsi="Times New Roman" w:eastAsia="Times New Roman" w:cs="Times New Roman"/>
                <w:color w:val="000000"/>
                <w:sz w:val="19"/>
              </w:rPr>
              <w:t>+traj</w:t>
            </w:r>
          </w:p>
        </w:tc>
        <w:tc>
          <w:tcPr>
            <w:tcW w:w="1814" w:type="dxa"/>
            <w:tcBorders>
              <w:top w:val="nil"/>
              <w:left w:val="nil"/>
              <w:bottom w:val="nil"/>
              <w:right w:val="nil"/>
            </w:tcBorders>
            <w:vAlign w:val="center"/>
          </w:tcPr>
          <w:p w14:paraId="400F6030">
            <w:pPr>
              <w:spacing w:line="240" w:lineRule="auto" w:before="0" w:after="20"/>
              <w:jc w:val="center"/>
            </w:pPr>
            <w:r>
              <w:rPr>
                <w:rFonts w:ascii="Times New Roman" w:hAnsi="Times New Roman" w:eastAsia="Times New Roman" w:cs="Times New Roman"/>
                <w:color w:val="000000"/>
                <w:sz w:val="19"/>
              </w:rPr>
              <w:t>2.375</w:t>
            </w:r>
          </w:p>
        </w:tc>
        <w:tc>
          <w:tcPr>
            <w:tcW w:w="1814" w:type="dxa"/>
            <w:tcBorders>
              <w:top w:val="nil"/>
              <w:left w:val="nil"/>
              <w:bottom w:val="nil"/>
              <w:right w:val="nil"/>
            </w:tcBorders>
            <w:vAlign w:val="center"/>
          </w:tcPr>
          <w:p w14:paraId="4ABD7FEA">
            <w:pPr>
              <w:spacing w:line="240" w:lineRule="auto" w:before="0" w:after="20"/>
              <w:jc w:val="center"/>
            </w:pPr>
            <w:r>
              <w:rPr>
                <w:rFonts w:ascii="Times New Roman" w:hAnsi="Times New Roman" w:eastAsia="Times New Roman" w:cs="Times New Roman"/>
                <w:color w:val="000000"/>
                <w:sz w:val="19"/>
              </w:rPr>
              <w:t>2.911</w:t>
            </w:r>
          </w:p>
        </w:tc>
        <w:tc>
          <w:tcPr>
            <w:tcW w:w="1814" w:type="dxa"/>
            <w:tcBorders>
              <w:top w:val="nil"/>
              <w:left w:val="nil"/>
              <w:bottom w:val="nil"/>
              <w:right w:val="nil"/>
            </w:tcBorders>
            <w:vAlign w:val="center"/>
          </w:tcPr>
          <w:p w14:paraId="6E66AFBE">
            <w:pPr>
              <w:spacing w:line="240" w:lineRule="auto" w:before="0" w:after="20"/>
              <w:jc w:val="center"/>
            </w:pPr>
            <w:r>
              <w:rPr>
                <w:rFonts w:ascii="Times New Roman" w:hAnsi="Times New Roman" w:eastAsia="Times New Roman" w:cs="Times New Roman"/>
                <w:color w:val="000000"/>
                <w:sz w:val="19"/>
              </w:rPr>
              <w:t>3.817</w:t>
            </w:r>
          </w:p>
        </w:tc>
        <w:tc>
          <w:tcPr>
            <w:tcW w:w="1814" w:type="dxa"/>
            <w:tcBorders>
              <w:top w:val="nil"/>
              <w:left w:val="nil"/>
              <w:bottom w:val="nil"/>
              <w:right w:val="nil"/>
            </w:tcBorders>
            <w:vAlign w:val="center"/>
          </w:tcPr>
          <w:p w14:paraId="0C4B8F7E">
            <w:pPr>
              <w:spacing w:line="240" w:lineRule="auto" w:before="0" w:after="20"/>
              <w:jc w:val="center"/>
            </w:pPr>
            <w:r>
              <w:rPr>
                <w:rFonts w:ascii="Times New Roman" w:hAnsi="Times New Roman" w:eastAsia="Times New Roman" w:cs="Times New Roman"/>
                <w:color w:val="000000"/>
                <w:sz w:val="19"/>
              </w:rPr>
              <w:t>2.083</w:t>
            </w:r>
          </w:p>
        </w:tc>
      </w:tr>
      <w:tr w14:paraId="5942AC04">
        <w:tblPrEx>
          <w:tblCellMar>
            <w:top w:w="0" w:type="dxa"/>
            <w:left w:w="10" w:type="dxa"/>
            <w:bottom w:w="0" w:type="dxa"/>
            <w:right w:w="10" w:type="dxa"/>
          </w:tblCellMar>
        </w:tblPrEx>
        <w:tc>
          <w:tcPr>
            <w:tcW w:w="1814" w:type="dxa"/>
            <w:tcBorders>
              <w:top w:val="nil"/>
              <w:left w:val="nil"/>
              <w:bottom w:val="single" w:color="000000" w:sz="8" w:space="0"/>
              <w:right w:val="nil"/>
            </w:tcBorders>
            <w:vAlign w:val="center"/>
          </w:tcPr>
          <w:p w14:paraId="0F07BBE9">
            <w:pPr>
              <w:spacing w:line="240" w:lineRule="auto" w:before="0" w:after="20"/>
              <w:jc w:val="left"/>
            </w:pPr>
            <w:r>
              <w:rPr>
                <w:rFonts w:ascii="Times New Roman" w:hAnsi="Times New Roman" w:eastAsia="Times New Roman" w:cs="Times New Roman"/>
                <w:color w:val="000000"/>
                <w:sz w:val="19"/>
              </w:rPr>
              <w:t>+adaptive</w:t>
            </w:r>
          </w:p>
        </w:tc>
        <w:tc>
          <w:tcPr>
            <w:tcW w:w="1814" w:type="dxa"/>
            <w:tcBorders>
              <w:top w:val="nil"/>
              <w:left w:val="nil"/>
              <w:bottom w:val="single" w:color="000000" w:sz="8" w:space="0"/>
              <w:right w:val="nil"/>
            </w:tcBorders>
            <w:vAlign w:val="center"/>
          </w:tcPr>
          <w:p w14:paraId="3D4B0DFC">
            <w:pPr>
              <w:spacing w:line="240" w:lineRule="auto" w:before="0" w:after="20"/>
              <w:jc w:val="center"/>
            </w:pPr>
            <w:r>
              <w:rPr>
                <w:rFonts w:ascii="Times New Roman" w:hAnsi="Times New Roman" w:eastAsia="Times New Roman" w:cs="Times New Roman"/>
                <w:color w:val="000000"/>
                <w:sz w:val="19"/>
              </w:rPr>
              <w:t>2.371</w:t>
            </w:r>
          </w:p>
        </w:tc>
        <w:tc>
          <w:tcPr>
            <w:tcW w:w="1814" w:type="dxa"/>
            <w:tcBorders>
              <w:top w:val="nil"/>
              <w:left w:val="nil"/>
              <w:bottom w:val="single" w:color="000000" w:sz="8" w:space="0"/>
              <w:right w:val="nil"/>
            </w:tcBorders>
            <w:vAlign w:val="center"/>
          </w:tcPr>
          <w:p w14:paraId="46ECC69B">
            <w:pPr>
              <w:spacing w:line="240" w:lineRule="auto" w:before="0" w:after="20"/>
              <w:jc w:val="center"/>
            </w:pPr>
            <w:r>
              <w:rPr>
                <w:rFonts w:ascii="Times New Roman" w:hAnsi="Times New Roman" w:eastAsia="Times New Roman" w:cs="Times New Roman"/>
                <w:color w:val="000000"/>
                <w:sz w:val="19"/>
              </w:rPr>
              <w:t>2.906</w:t>
            </w:r>
          </w:p>
        </w:tc>
        <w:tc>
          <w:tcPr>
            <w:tcW w:w="1814" w:type="dxa"/>
            <w:tcBorders>
              <w:top w:val="nil"/>
              <w:left w:val="nil"/>
              <w:bottom w:val="single" w:color="000000" w:sz="8" w:space="0"/>
              <w:right w:val="nil"/>
            </w:tcBorders>
            <w:vAlign w:val="center"/>
          </w:tcPr>
          <w:p w14:paraId="217664D6">
            <w:pPr>
              <w:spacing w:line="240" w:lineRule="auto" w:before="0" w:after="20"/>
              <w:jc w:val="center"/>
            </w:pPr>
            <w:r>
              <w:rPr>
                <w:rFonts w:ascii="Times New Roman" w:hAnsi="Times New Roman" w:eastAsia="Times New Roman" w:cs="Times New Roman"/>
                <w:color w:val="000000"/>
                <w:sz w:val="19"/>
              </w:rPr>
              <w:t>3.808</w:t>
            </w:r>
          </w:p>
        </w:tc>
        <w:tc>
          <w:tcPr>
            <w:tcW w:w="1814" w:type="dxa"/>
            <w:tcBorders>
              <w:top w:val="nil"/>
              <w:left w:val="nil"/>
              <w:bottom w:val="single" w:color="000000" w:sz="8" w:space="0"/>
              <w:right w:val="nil"/>
            </w:tcBorders>
            <w:vAlign w:val="center"/>
          </w:tcPr>
          <w:p w14:paraId="2879FEA3">
            <w:pPr>
              <w:spacing w:line="240" w:lineRule="auto" w:before="0" w:after="20"/>
              <w:jc w:val="center"/>
            </w:pPr>
            <w:r>
              <w:rPr>
                <w:rFonts w:ascii="Times New Roman" w:hAnsi="Times New Roman" w:eastAsia="Times New Roman" w:cs="Times New Roman"/>
                <w:color w:val="000000"/>
                <w:sz w:val="19"/>
              </w:rPr>
              <w:t>2.100</w:t>
            </w:r>
          </w:p>
        </w:tc>
      </w:tr>
    </w:tbl>
    <w:p w14:paraId="5D41DF08">
      <w:pPr>
        <w:pStyle w:val="49"/>
        <w:keepNext/>
        <w:keepLines w:val="0"/>
        <w:widowControl/>
        <w:spacing w:before="160" w:after="40"/>
        <w:jc w:val="center"/>
      </w:pPr>
      <w:bookmarkStart w:id="42" w:name="fig:count_png"/>
      <w:r>
        <w:rPr>
          <w:rFonts w:ascii="Times New Roman" w:hAnsi="Times New Roman" w:eastAsia="Times New Roman" w:cs="Times New Roman"/>
          <w:color w:val="000000"/>
          <w:sz w:val="20"/>
        </w:rPr>
        <w:drawing>
          <wp:inline distT="0" distB="0" distL="114300" distR="114300">
            <wp:extent cx="4693920" cy="2622057"/>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93920" cy="2622057"/>
                    </a:xfrm>
                    <a:prstGeom prst="rect">
                      <a:avLst/>
                    </a:prstGeom>
                  </pic:spPr>
                </pic:pic>
              </a:graphicData>
            </a:graphic>
          </wp:inline>
        </w:drawing>
      </w:r>
    </w:p>
    <w:p w14:paraId="6A2D453A">
      <w:pPr>
        <w:pStyle w:val="47"/>
        <w:keepNext w:val="0"/>
        <w:keepLines w:val="0"/>
        <w:widowControl/>
        <w:jc w:val="left"/>
      </w:pPr>
      <w:r>
        <w:rPr>
          <w:rFonts w:ascii="Times New Roman" w:hAnsi="Times New Roman" w:eastAsia="Times New Roman" w:cs="Times New Roman"/>
          <w:color w:val="000000"/>
          <w:sz w:val="20"/>
        </w:rPr>
        <w:t>Count stability comparison.</w:t>
      </w:r>
    </w:p>
    <w:bookmarkEnd w:id="41"/>
    <w:bookmarkEnd w:id="42"/>
    <w:p w14:paraId="120DD8F5">
      <w:pPr>
        <w:pStyle w:val="4"/>
        <w:keepNext/>
        <w:keepLines w:val="0"/>
        <w:widowControl/>
        <w:jc w:val="left"/>
      </w:pPr>
      <w:bookmarkStart w:id="43" w:name="runtime-and-resource-profile"/>
      <w:r>
        <w:rPr>
          <w:rFonts w:ascii="Times New Roman" w:hAnsi="Times New Roman" w:eastAsia="Times New Roman" w:cs="Times New Roman"/>
          <w:b/>
          <w:color w:val="000000"/>
          <w:sz w:val="20"/>
        </w:rPr>
        <w:t>4.8 Runtime and resource profile</w:t>
      </w:r>
    </w:p>
    <w:p w14:paraId="525710F8">
      <w:pPr>
        <w:pStyle w:val="25"/>
        <w:keepLines w:val="0"/>
        <w:widowControl/>
        <w:spacing w:line="276" w:lineRule="auto" w:before="0" w:after="80"/>
        <w:jc w:val="both"/>
      </w:pPr>
      <w:r>
        <w:rPr>
          <w:rFonts w:ascii="Times New Roman" w:hAnsi="Times New Roman" w:eastAsia="Times New Roman" w:cs="Times New Roman"/>
          <w:color w:val="000000"/>
          <w:sz w:val="20"/>
        </w:rPr>
        <w:t>Figure 8 answers RQ4 for Scope A (tracking-only). Base runs at 822.812 FPS with 548.992 MB peak memory and 2.157% normalized CPU. +gating is 1182.212 FPS, 548.395 MB, 3.355%. +traj and +adaptive are much heavier: 95.740/89.024 FPS and 734.211/733.199 MB, with CPU around 69.259%/69.488%.</w:t>
      </w:r>
    </w:p>
    <w:p w14:paraId="43FFD736">
      <w:pPr>
        <w:pStyle w:val="3"/>
        <w:keepLines w:val="0"/>
        <w:widowControl/>
        <w:spacing w:line="276" w:lineRule="auto" w:before="0" w:after="80"/>
        <w:jc w:val="both"/>
      </w:pPr>
      <w:r>
        <w:rPr>
          <w:rFonts w:ascii="Times New Roman" w:hAnsi="Times New Roman" w:eastAsia="Times New Roman" w:cs="Times New Roman"/>
          <w:color w:val="000000"/>
          <w:sz w:val="20"/>
        </w:rPr>
        <w:t>We report Scope A and Scope B separately because they answer different deployment questions. Scope A isolates tracker-internal efficiency under controlled inputs, while Scope B captures user-facing performance when decode and detection overhead are included in the critical path. This separation avoids over-interpreting tracker-only throughput as end-to-end system capacity.</w:t>
      </w:r>
    </w:p>
    <w:p w14:paraId="6DF658AE">
      <w:pPr>
        <w:keepLines w:val="0"/>
        <w:widowControl/>
        <w:spacing w:line="276" w:lineRule="auto" w:before="0" w:after="80"/>
        <w:jc w:val="both"/>
        <w:rPr>
          <w:rFonts w:ascii="Times New Roman" w:hAnsi="Times New Roman" w:eastAsia="Times New Roman" w:cs="Times New Roman"/>
          <w:b w:val="0"/>
          <w:i w:val="0"/>
          <w:color w:val="000000"/>
          <w:sz w:val="20"/>
          <w:szCs w:val="24"/>
          <w:lang w:val="en-US" w:eastAsia="zh-CN" w:bidi="ar-SA"/>
        </w:rPr>
      </w:pPr>
      <w:bookmarkStart w:id="44" w:name="tab:runtime_e2e_fields"/>
      <w:r>
        <w:rPr>
          <w:rFonts w:ascii="Times New Roman" w:hAnsi="Times New Roman" w:eastAsia="Times New Roman" w:cs="Times New Roman"/>
          <w:b w:val="0"/>
          <w:i w:val="0"/>
          <w:color w:val="000000"/>
          <w:sz w:val="20"/>
          <w:szCs w:val="24"/>
          <w:lang w:val="en-US" w:eastAsia="zh-CN" w:bidi="ar-SA"/>
        </w:rPr>
        <w:t>Scope B (end-to-end) results are not included in the current version. Therefore, this manuscript does not make end-to-end deployment capacity claims.sion.</w:t>
      </w:r>
    </w:p>
    <w:p w14:paraId="7DECAE77">
      <w:pPr>
        <w:pStyle w:val="46"/>
        <w:keepNext/>
        <w:keepLines w:val="0"/>
        <w:widowControl/>
        <w:jc w:val="left"/>
        <w:rPr>
          <w:rFonts w:ascii="Times New Roman" w:hAnsi="Times New Roman"/>
          <w:b w:val="0"/>
          <w:sz w:val="20"/>
        </w:rPr>
      </w:pPr>
      <w:r>
        <w:rPr>
          <w:rFonts w:ascii="Times New Roman" w:hAnsi="Times New Roman" w:eastAsia="Times New Roman" w:cs="Times New Roman"/>
          <w:b w:val="0"/>
          <w:color w:val="000000"/>
          <w:sz w:val="20"/>
        </w:rPr>
        <w:t>Scope B reporting items to be included in future end-to-end profiling.</w:t>
      </w:r>
    </w:p>
    <w:tbl>
      <w:tblPr>
        <w:tblStyle w:val="43"/>
        <w:tblW w:w="0" w:type="auto"/>
        <w:tblCaption w:val="Scope B (end-to-end) reporting schema."/>
        <w:jc w:val="center"/>
        <w:tblInd w:w="0" w:type="dxa"/>
        <w:tblLayout w:type="autofit"/>
        <w:tblCellMar>
          <w:top w:w="0" w:type="dxa"/>
          <w:left w:w="108" w:type="dxa"/>
          <w:bottom w:w="0" w:type="dxa"/>
          <w:right w:w="108" w:type="dxa"/>
        </w:tblCellMar>
      </w:tblPr>
      <w:tblGrid>
        <w:gridCol w:w="1827"/>
        <w:gridCol w:w="7046"/>
      </w:tblGrid>
      <w:tr w14:paraId="6CE195A9">
        <w:tblPrEx>
          <w:tblCellMar>
            <w:top w:w="0" w:type="dxa"/>
            <w:left w:w="108" w:type="dxa"/>
            <w:bottom w:w="0" w:type="dxa"/>
            <w:right w:w="108" w:type="dxa"/>
          </w:tblCellMar>
        </w:tblPrEx>
        <w:trPr>
          <w:tblHeader/>
        </w:trPr>
        <w:tc>
          <w:tcPr>
            <w:tcBorders>
              <w:top w:val="single" w:color="000000" w:sz="8" w:space="0"/>
              <w:left w:val="nil"/>
              <w:bottom w:val="single" w:color="000000" w:sz="6" w:space="0"/>
              <w:right w:val="nil"/>
            </w:tcBorders>
            <w:vAlign w:val="center"/>
          </w:tcPr>
          <w:p w14:paraId="1C64AEC1">
            <w:pPr>
              <w:pStyle w:val="26"/>
              <w:spacing w:line="240" w:lineRule="auto" w:before="0" w:after="20"/>
              <w:jc w:val="left"/>
            </w:pPr>
            <w:r>
              <w:rPr>
                <w:rFonts w:ascii="Times New Roman" w:hAnsi="Times New Roman" w:eastAsia="Times New Roman" w:cs="Times New Roman"/>
                <w:b/>
                <w:color w:val="000000"/>
                <w:sz w:val="19"/>
              </w:rPr>
              <w:t>Field (csv)</w:t>
            </w:r>
          </w:p>
        </w:tc>
        <w:tc>
          <w:tcPr>
            <w:tcBorders>
              <w:top w:val="single" w:color="000000" w:sz="8" w:space="0"/>
              <w:left w:val="nil"/>
              <w:bottom w:val="single" w:color="000000" w:sz="6" w:space="0"/>
              <w:right w:val="nil"/>
            </w:tcBorders>
            <w:vAlign w:val="center"/>
          </w:tcPr>
          <w:p w14:paraId="388F5129">
            <w:pPr>
              <w:pStyle w:val="26"/>
              <w:spacing w:line="240" w:lineRule="auto" w:before="0" w:after="20"/>
              <w:jc w:val="center"/>
            </w:pPr>
            <w:r>
              <w:rPr>
                <w:rFonts w:ascii="Times New Roman" w:hAnsi="Times New Roman" w:eastAsia="Times New Roman" w:cs="Times New Roman"/>
                <w:b/>
                <w:color w:val="000000"/>
                <w:sz w:val="19"/>
              </w:rPr>
              <w:t>Reporting requirement (no values filled in this manuscript)</w:t>
            </w:r>
          </w:p>
        </w:tc>
      </w:tr>
      <w:tr w14:paraId="68832191">
        <w:tblPrEx>
          <w:tblCellMar>
            <w:top w:w="0" w:type="dxa"/>
            <w:left w:w="108" w:type="dxa"/>
            <w:bottom w:w="0" w:type="dxa"/>
            <w:right w:w="108" w:type="dxa"/>
          </w:tblCellMar>
        </w:tblPrEx>
        <w:tc>
          <w:tcPr>
            <w:tcBorders>
              <w:top w:val="nil"/>
              <w:left w:val="nil"/>
              <w:bottom w:val="nil"/>
              <w:right w:val="nil"/>
            </w:tcBorders>
            <w:vAlign w:val="center"/>
          </w:tcPr>
          <w:p w14:paraId="170E5404">
            <w:pPr>
              <w:pStyle w:val="26"/>
              <w:spacing w:line="240" w:lineRule="auto" w:before="0" w:after="20"/>
              <w:jc w:val="left"/>
            </w:pPr>
            <w:r>
              <w:rPr>
                <w:rFonts w:ascii="Times New Roman" w:hAnsi="Times New Roman" w:eastAsia="Times New Roman" w:cs="Times New Roman"/>
                <w:color w:val="000000"/>
                <w:sz w:val="19"/>
              </w:rPr>
              <w:t>fps_e2e</w:t>
            </w:r>
          </w:p>
        </w:tc>
        <w:tc>
          <w:tcPr>
            <w:tcBorders>
              <w:top w:val="nil"/>
              <w:left w:val="nil"/>
              <w:bottom w:val="nil"/>
              <w:right w:val="nil"/>
            </w:tcBorders>
            <w:vAlign w:val="center"/>
          </w:tcPr>
          <w:p w14:paraId="25C81D09">
            <w:pPr>
              <w:spacing w:line="240" w:lineRule="auto" w:before="0" w:after="20"/>
              <w:jc w:val="center"/>
            </w:pPr>
            <w:r>
              <w:rPr>
                <w:rFonts w:ascii="Times New Roman" w:hAnsi="Times New Roman" w:eastAsia="Times New Roman" w:cs="Times New Roman"/>
                <w:color w:val="000000"/>
                <w:sz w:val="19"/>
              </w:rPr>
              <w:t>End-to-end throughput including decode+detect+track+write.</w:t>
            </w:r>
          </w:p>
        </w:tc>
      </w:tr>
      <w:tr w14:paraId="7D5F8350">
        <w:tblPrEx>
          <w:tblCellMar>
            <w:top w:w="0" w:type="dxa"/>
            <w:left w:w="108" w:type="dxa"/>
            <w:bottom w:w="0" w:type="dxa"/>
            <w:right w:w="108" w:type="dxa"/>
          </w:tblCellMar>
        </w:tblPrEx>
        <w:tc>
          <w:tcPr>
            <w:tcBorders>
              <w:top w:val="nil"/>
              <w:left w:val="nil"/>
              <w:bottom w:val="nil"/>
              <w:right w:val="nil"/>
            </w:tcBorders>
            <w:vAlign w:val="center"/>
          </w:tcPr>
          <w:p w14:paraId="04E2DD27">
            <w:pPr>
              <w:pStyle w:val="26"/>
              <w:spacing w:line="240" w:lineRule="auto" w:before="0" w:after="20"/>
              <w:jc w:val="left"/>
            </w:pPr>
            <w:r>
              <w:rPr>
                <w:rFonts w:ascii="Times New Roman" w:hAnsi="Times New Roman" w:eastAsia="Times New Roman" w:cs="Times New Roman"/>
                <w:color w:val="000000"/>
                <w:sz w:val="19"/>
              </w:rPr>
              <w:t>mem_peak_mb_e2e</w:t>
            </w:r>
          </w:p>
        </w:tc>
        <w:tc>
          <w:tcPr>
            <w:tcBorders>
              <w:top w:val="nil"/>
              <w:left w:val="nil"/>
              <w:bottom w:val="nil"/>
              <w:right w:val="nil"/>
            </w:tcBorders>
            <w:vAlign w:val="center"/>
          </w:tcPr>
          <w:p w14:paraId="327CEA02">
            <w:pPr>
              <w:spacing w:line="240" w:lineRule="auto" w:before="0" w:after="20"/>
              <w:jc w:val="center"/>
            </w:pPr>
            <w:r>
              <w:rPr>
                <w:rFonts w:ascii="Times New Roman" w:hAnsi="Times New Roman" w:eastAsia="Times New Roman" w:cs="Times New Roman"/>
                <w:color w:val="000000"/>
                <w:sz w:val="19"/>
              </w:rPr>
              <w:t>Peak resident memory in end-to-end runs.</w:t>
            </w:r>
          </w:p>
        </w:tc>
      </w:tr>
      <w:tr w14:paraId="7C03D47D">
        <w:tblPrEx>
          <w:tblCellMar>
            <w:top w:w="0" w:type="dxa"/>
            <w:left w:w="108" w:type="dxa"/>
            <w:bottom w:w="0" w:type="dxa"/>
            <w:right w:w="108" w:type="dxa"/>
          </w:tblCellMar>
        </w:tblPrEx>
        <w:tc>
          <w:tcPr>
            <w:tcBorders>
              <w:top w:val="nil"/>
              <w:left w:val="nil"/>
              <w:bottom w:val="nil"/>
              <w:right w:val="nil"/>
            </w:tcBorders>
            <w:vAlign w:val="center"/>
          </w:tcPr>
          <w:p w14:paraId="4C43F288">
            <w:pPr>
              <w:pStyle w:val="26"/>
              <w:spacing w:line="240" w:lineRule="auto" w:before="0" w:after="20"/>
              <w:jc w:val="left"/>
            </w:pPr>
            <w:r>
              <w:rPr>
                <w:rFonts w:ascii="Times New Roman" w:hAnsi="Times New Roman" w:eastAsia="Times New Roman" w:cs="Times New Roman"/>
                <w:color w:val="000000"/>
                <w:sz w:val="19"/>
              </w:rPr>
              <w:t>cpu_norm_e2e</w:t>
            </w:r>
          </w:p>
        </w:tc>
        <w:tc>
          <w:tcPr>
            <w:tcBorders>
              <w:top w:val="nil"/>
              <w:left w:val="nil"/>
              <w:bottom w:val="nil"/>
              <w:right w:val="nil"/>
            </w:tcBorders>
            <w:vAlign w:val="center"/>
          </w:tcPr>
          <w:p w14:paraId="69CEF7B8">
            <w:pPr>
              <w:spacing w:line="240" w:lineRule="auto" w:before="0" w:after="20"/>
              <w:jc w:val="center"/>
            </w:pPr>
            <w:r>
              <w:rPr>
                <w:rFonts w:ascii="Times New Roman" w:hAnsi="Times New Roman" w:eastAsia="Times New Roman" w:cs="Times New Roman"/>
                <w:color w:val="000000"/>
                <w:sz w:val="19"/>
              </w:rPr>
              <w:t>Normalized CPU usage in end-to-end runs.</w:t>
            </w:r>
          </w:p>
        </w:tc>
      </w:tr>
      <w:tr w14:paraId="04306436">
        <w:tblPrEx>
          <w:tblCellMar>
            <w:top w:w="0" w:type="dxa"/>
            <w:left w:w="108" w:type="dxa"/>
            <w:bottom w:w="0" w:type="dxa"/>
            <w:right w:w="108" w:type="dxa"/>
          </w:tblCellMar>
        </w:tblPrEx>
        <w:tc>
          <w:tcPr>
            <w:tcBorders>
              <w:top w:val="nil"/>
              <w:left w:val="nil"/>
              <w:bottom w:val="nil"/>
              <w:right w:val="nil"/>
            </w:tcBorders>
            <w:vAlign w:val="center"/>
          </w:tcPr>
          <w:p w14:paraId="1C805EF0">
            <w:pPr>
              <w:pStyle w:val="26"/>
              <w:spacing w:line="240" w:lineRule="auto" w:before="0" w:after="20"/>
              <w:jc w:val="left"/>
            </w:pPr>
            <w:r>
              <w:rPr>
                <w:rFonts w:ascii="Times New Roman" w:hAnsi="Times New Roman" w:eastAsia="Times New Roman" w:cs="Times New Roman"/>
                <w:color w:val="000000"/>
                <w:sz w:val="19"/>
              </w:rPr>
              <w:t>detector_time</w:t>
            </w:r>
          </w:p>
        </w:tc>
        <w:tc>
          <w:tcPr>
            <w:tcBorders>
              <w:top w:val="nil"/>
              <w:left w:val="nil"/>
              <w:bottom w:val="nil"/>
              <w:right w:val="nil"/>
            </w:tcBorders>
            <w:vAlign w:val="center"/>
          </w:tcPr>
          <w:p w14:paraId="0FA5DE51">
            <w:pPr>
              <w:spacing w:line="240" w:lineRule="auto" w:before="0" w:after="20"/>
              <w:jc w:val="center"/>
            </w:pPr>
            <w:r>
              <w:rPr>
                <w:rFonts w:ascii="Times New Roman" w:hAnsi="Times New Roman" w:eastAsia="Times New Roman" w:cs="Times New Roman"/>
                <w:color w:val="000000"/>
                <w:sz w:val="19"/>
              </w:rPr>
              <w:t>Detector-stage elapsed time.</w:t>
            </w:r>
          </w:p>
        </w:tc>
      </w:tr>
      <w:tr w14:paraId="52CD378A">
        <w:tblPrEx>
          <w:tblCellMar>
            <w:top w:w="0" w:type="dxa"/>
            <w:left w:w="108" w:type="dxa"/>
            <w:bottom w:w="0" w:type="dxa"/>
            <w:right w:w="108" w:type="dxa"/>
          </w:tblCellMar>
        </w:tblPrEx>
        <w:tc>
          <w:tcPr>
            <w:tcBorders>
              <w:top w:val="nil"/>
              <w:left w:val="nil"/>
              <w:bottom w:val="nil"/>
              <w:right w:val="nil"/>
            </w:tcBorders>
            <w:vAlign w:val="center"/>
          </w:tcPr>
          <w:p w14:paraId="2405F921">
            <w:pPr>
              <w:pStyle w:val="26"/>
              <w:spacing w:line="240" w:lineRule="auto" w:before="0" w:after="20"/>
              <w:jc w:val="left"/>
            </w:pPr>
            <w:r>
              <w:rPr>
                <w:rFonts w:ascii="Times New Roman" w:hAnsi="Times New Roman" w:eastAsia="Times New Roman" w:cs="Times New Roman"/>
                <w:color w:val="000000"/>
                <w:sz w:val="19"/>
              </w:rPr>
              <w:t>decode_time</w:t>
            </w:r>
          </w:p>
        </w:tc>
        <w:tc>
          <w:tcPr>
            <w:tcBorders>
              <w:top w:val="nil"/>
              <w:left w:val="nil"/>
              <w:bottom w:val="nil"/>
              <w:right w:val="nil"/>
            </w:tcBorders>
            <w:vAlign w:val="center"/>
          </w:tcPr>
          <w:p w14:paraId="649F40E4">
            <w:pPr>
              <w:spacing w:line="240" w:lineRule="auto" w:before="0" w:after="20"/>
              <w:jc w:val="center"/>
            </w:pPr>
            <w:r>
              <w:rPr>
                <w:rFonts w:ascii="Times New Roman" w:hAnsi="Times New Roman" w:eastAsia="Times New Roman" w:cs="Times New Roman"/>
                <w:color w:val="000000"/>
                <w:sz w:val="19"/>
              </w:rPr>
              <w:t>Decode-stage elapsed time.</w:t>
            </w:r>
          </w:p>
        </w:tc>
      </w:tr>
      <w:tr w14:paraId="603ECE63">
        <w:tblPrEx>
          <w:tblCellMar>
            <w:top w:w="0" w:type="dxa"/>
            <w:left w:w="108" w:type="dxa"/>
            <w:bottom w:w="0" w:type="dxa"/>
            <w:right w:w="108" w:type="dxa"/>
          </w:tblCellMar>
        </w:tblPrEx>
        <w:tc>
          <w:tcPr>
            <w:tcBorders>
              <w:top w:val="nil"/>
              <w:left w:val="nil"/>
              <w:bottom w:val="nil"/>
              <w:right w:val="nil"/>
            </w:tcBorders>
            <w:vAlign w:val="center"/>
          </w:tcPr>
          <w:p w14:paraId="20A9FBA1">
            <w:pPr>
              <w:pStyle w:val="26"/>
              <w:spacing w:line="240" w:lineRule="auto" w:before="0" w:after="20"/>
              <w:jc w:val="left"/>
            </w:pPr>
            <w:r>
              <w:rPr>
                <w:rFonts w:ascii="Times New Roman" w:hAnsi="Times New Roman" w:eastAsia="Times New Roman" w:cs="Times New Roman"/>
                <w:color w:val="000000"/>
                <w:sz w:val="19"/>
              </w:rPr>
              <w:t>tracking_time</w:t>
            </w:r>
          </w:p>
        </w:tc>
        <w:tc>
          <w:tcPr>
            <w:tcBorders>
              <w:top w:val="nil"/>
              <w:left w:val="nil"/>
              <w:bottom w:val="nil"/>
              <w:right w:val="nil"/>
            </w:tcBorders>
            <w:vAlign w:val="center"/>
          </w:tcPr>
          <w:p w14:paraId="45CAF6C5">
            <w:pPr>
              <w:spacing w:line="240" w:lineRule="auto" w:before="0" w:after="20"/>
              <w:jc w:val="center"/>
            </w:pPr>
            <w:r>
              <w:rPr>
                <w:rFonts w:ascii="Times New Roman" w:hAnsi="Times New Roman" w:eastAsia="Times New Roman" w:cs="Times New Roman"/>
                <w:color w:val="000000"/>
                <w:sz w:val="19"/>
              </w:rPr>
              <w:t>Tracker-stage elapsed time in end-to-end runs.</w:t>
            </w:r>
          </w:p>
        </w:tc>
      </w:tr>
      <w:tr w14:paraId="03D065AD">
        <w:tblPrEx>
          <w:tblCellMar>
            <w:top w:w="0" w:type="dxa"/>
            <w:left w:w="108" w:type="dxa"/>
            <w:bottom w:w="0" w:type="dxa"/>
            <w:right w:w="108" w:type="dxa"/>
          </w:tblCellMar>
        </w:tblPrEx>
        <w:tc>
          <w:tcPr>
            <w:tcBorders>
              <w:top w:val="nil"/>
              <w:left w:val="nil"/>
              <w:bottom w:val="nil"/>
              <w:right w:val="nil"/>
            </w:tcBorders>
            <w:vAlign w:val="center"/>
          </w:tcPr>
          <w:p w14:paraId="41D57C9A">
            <w:pPr>
              <w:pStyle w:val="26"/>
              <w:spacing w:line="240" w:lineRule="auto" w:before="0" w:after="20"/>
              <w:jc w:val="left"/>
            </w:pPr>
            <w:r>
              <w:rPr>
                <w:rFonts w:ascii="Times New Roman" w:hAnsi="Times New Roman" w:eastAsia="Times New Roman" w:cs="Times New Roman"/>
                <w:color w:val="000000"/>
                <w:sz w:val="19"/>
              </w:rPr>
              <w:t>write_time</w:t>
            </w:r>
          </w:p>
        </w:tc>
        <w:tc>
          <w:tcPr>
            <w:tcBorders>
              <w:top w:val="nil"/>
              <w:left w:val="nil"/>
              <w:bottom w:val="nil"/>
              <w:right w:val="nil"/>
            </w:tcBorders>
            <w:vAlign w:val="center"/>
          </w:tcPr>
          <w:p w14:paraId="722F319B">
            <w:pPr>
              <w:spacing w:line="240" w:lineRule="auto" w:before="0" w:after="20"/>
              <w:jc w:val="center"/>
            </w:pPr>
            <w:r>
              <w:rPr>
                <w:rFonts w:ascii="Times New Roman" w:hAnsi="Times New Roman" w:eastAsia="Times New Roman" w:cs="Times New Roman"/>
                <w:color w:val="000000"/>
                <w:sz w:val="19"/>
              </w:rPr>
              <w:t>Output serialization/write elapsed time.</w:t>
            </w:r>
          </w:p>
        </w:tc>
      </w:tr>
      <w:tr w14:paraId="698C4AD0">
        <w:tblPrEx>
          <w:tblCellMar>
            <w:top w:w="0" w:type="dxa"/>
            <w:left w:w="108" w:type="dxa"/>
            <w:bottom w:w="0" w:type="dxa"/>
            <w:right w:w="108" w:type="dxa"/>
          </w:tblCellMar>
        </w:tblPrEx>
        <w:tc>
          <w:tcPr>
            <w:tcBorders>
              <w:top w:val="nil"/>
              <w:left w:val="nil"/>
              <w:bottom w:val="nil"/>
              <w:right w:val="nil"/>
            </w:tcBorders>
            <w:vAlign w:val="center"/>
          </w:tcPr>
          <w:p w14:paraId="0FF3F38E">
            <w:pPr>
              <w:pStyle w:val="26"/>
              <w:spacing w:line="240" w:lineRule="auto" w:before="0" w:after="20"/>
              <w:jc w:val="left"/>
            </w:pPr>
            <w:r>
              <w:rPr>
                <w:rFonts w:ascii="Times New Roman" w:hAnsi="Times New Roman" w:eastAsia="Times New Roman" w:cs="Times New Roman"/>
                <w:color w:val="000000"/>
                <w:sz w:val="19"/>
              </w:rPr>
              <w:t>detector_name</w:t>
            </w:r>
          </w:p>
        </w:tc>
        <w:tc>
          <w:tcPr>
            <w:tcBorders>
              <w:top w:val="nil"/>
              <w:left w:val="nil"/>
              <w:bottom w:val="nil"/>
              <w:right w:val="nil"/>
            </w:tcBorders>
            <w:vAlign w:val="center"/>
          </w:tcPr>
          <w:p w14:paraId="0010EE31">
            <w:pPr>
              <w:spacing w:line="240" w:lineRule="auto" w:before="0" w:after="20"/>
              <w:jc w:val="center"/>
            </w:pPr>
            <w:r>
              <w:rPr>
                <w:rFonts w:ascii="Times New Roman" w:hAnsi="Times New Roman" w:eastAsia="Times New Roman" w:cs="Times New Roman"/>
                <w:color w:val="000000"/>
                <w:sz w:val="19"/>
              </w:rPr>
              <w:t>Detector model identifier and version.</w:t>
            </w:r>
          </w:p>
        </w:tc>
      </w:tr>
      <w:tr w14:paraId="116EB7BB">
        <w:tblPrEx>
          <w:tblCellMar>
            <w:top w:w="0" w:type="dxa"/>
            <w:left w:w="108" w:type="dxa"/>
            <w:bottom w:w="0" w:type="dxa"/>
            <w:right w:w="108" w:type="dxa"/>
          </w:tblCellMar>
        </w:tblPrEx>
        <w:tc>
          <w:tcPr>
            <w:tcBorders>
              <w:top w:val="nil"/>
              <w:left w:val="nil"/>
              <w:bottom w:val="single" w:color="000000" w:sz="8" w:space="0"/>
              <w:right w:val="nil"/>
            </w:tcBorders>
            <w:vAlign w:val="center"/>
          </w:tcPr>
          <w:p w14:paraId="61DEE1D6">
            <w:pPr>
              <w:pStyle w:val="26"/>
              <w:spacing w:line="240" w:lineRule="auto" w:before="0" w:after="20"/>
              <w:jc w:val="left"/>
            </w:pPr>
            <w:r>
              <w:rPr>
                <w:rFonts w:ascii="Times New Roman" w:hAnsi="Times New Roman" w:eastAsia="Times New Roman" w:cs="Times New Roman"/>
                <w:color w:val="000000"/>
                <w:sz w:val="19"/>
              </w:rPr>
              <w:t>input_resolution</w:t>
            </w:r>
          </w:p>
        </w:tc>
        <w:tc>
          <w:tcPr>
            <w:tcBorders>
              <w:top w:val="nil"/>
              <w:left w:val="nil"/>
              <w:bottom w:val="single" w:color="000000" w:sz="8" w:space="0"/>
              <w:right w:val="nil"/>
            </w:tcBorders>
            <w:vAlign w:val="center"/>
          </w:tcPr>
          <w:p w14:paraId="2E2638DC">
            <w:pPr>
              <w:spacing w:line="240" w:lineRule="auto" w:before="0" w:after="20"/>
              <w:jc w:val="center"/>
            </w:pPr>
            <w:r>
              <w:rPr>
                <w:rFonts w:ascii="Times New Roman" w:hAnsi="Times New Roman" w:eastAsia="Times New Roman" w:cs="Times New Roman"/>
                <w:color w:val="000000"/>
                <w:sz w:val="19"/>
              </w:rPr>
              <w:t>Input resolution (W×H) used in end-to-end runs.</w:t>
            </w:r>
          </w:p>
        </w:tc>
      </w:tr>
      <w:bookmarkEnd w:id="44"/>
    </w:tbl>
    <w:p w14:paraId="495E3BA7">
      <w:pPr>
        <w:pStyle w:val="49"/>
        <w:keepNext/>
        <w:keepLines w:val="0"/>
        <w:widowControl/>
        <w:spacing w:before="160" w:after="40"/>
        <w:jc w:val="center"/>
      </w:pPr>
      <w:bookmarkStart w:id="45" w:name="fig:runtime"/>
      <w:r>
        <w:rPr>
          <w:rFonts w:ascii="Times New Roman" w:hAnsi="Times New Roman" w:eastAsia="Times New Roman" w:cs="Times New Roman"/>
          <w:color w:val="000000"/>
          <w:sz w:val="20"/>
        </w:rPr>
        <w:drawing>
          <wp:inline distT="0" distB="0" distL="114300" distR="114300">
            <wp:extent cx="5067300" cy="2632162"/>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67300" cy="2632162"/>
                    </a:xfrm>
                    <a:prstGeom prst="rect">
                      <a:avLst/>
                    </a:prstGeom>
                  </pic:spPr>
                </pic:pic>
              </a:graphicData>
            </a:graphic>
          </wp:inline>
        </w:drawing>
      </w:r>
    </w:p>
    <w:p w14:paraId="47F2FA6D">
      <w:pPr>
        <w:pStyle w:val="47"/>
        <w:keepNext w:val="0"/>
        <w:keepLines w:val="0"/>
        <w:widowControl/>
        <w:jc w:val="left"/>
      </w:pPr>
      <w:r>
        <w:rPr>
          <w:rFonts w:ascii="Times New Roman" w:hAnsi="Times New Roman" w:eastAsia="Times New Roman" w:cs="Times New Roman"/>
          <w:color w:val="000000"/>
          <w:sz w:val="20"/>
        </w:rPr>
        <w:t>Runtime profiling (FPS, memory, normalized CPU).</w:t>
      </w:r>
    </w:p>
    <w:bookmarkEnd w:id="26"/>
    <w:bookmarkEnd w:id="43"/>
    <w:bookmarkEnd w:id="45"/>
    <w:p w14:paraId="3E08F312">
      <w:pPr>
        <w:pStyle w:val="2"/>
        <w:keepNext/>
        <w:keepLines w:val="0"/>
        <w:widowControl/>
        <w:jc w:val="left"/>
      </w:pPr>
      <w:bookmarkStart w:id="46" w:name="sec:deployment_guideline"/>
      <w:r>
        <w:rPr>
          <w:rFonts w:ascii="Times New Roman" w:hAnsi="Times New Roman" w:eastAsia="Times New Roman" w:cs="Times New Roman"/>
          <w:b/>
          <w:color w:val="000000"/>
          <w:sz w:val="22"/>
        </w:rPr>
        <w:t>5. Discussion</w:t>
      </w:r>
    </w:p>
    <w:p w14:paraId="01D64ACA">
      <w:pPr>
        <w:pStyle w:val="25"/>
        <w:keepLines w:val="0"/>
        <w:widowControl/>
        <w:spacing w:line="276" w:lineRule="auto" w:before="0" w:after="80"/>
        <w:jc w:val="both"/>
      </w:pPr>
      <w:r>
        <w:rPr>
          <w:rFonts w:ascii="Times New Roman" w:hAnsi="Times New Roman" w:eastAsia="Times New Roman" w:cs="Times New Roman"/>
          <w:b w:val="0"/>
          <w:i w:val="0"/>
          <w:color w:val="000000"/>
          <w:sz w:val="20"/>
        </w:rPr>
        <w:t>The results suggest that deployment decisions should be based on operating intervals and resource constraints rather than on a single aggregate score. Gating-threshold selection is therefore interpreted as a candidate operating interval rather than a single tuned constant:</w:t>
      </w:r>
      <w:r>
        <w:rPr>
          <w:rFonts w:ascii="Times New Roman" w:hAnsi="Times New Roman" w:eastAsia="Times New Roman" w:cs="Times New Roman"/>
          <w:color w:val="000000"/>
          <w:sz w:val="20"/>
        </w:rPr>
        <w:t xml:space="preserve"> under the current split/seed, 1000/2000/4000 show identical +gating metrics, and Section 5.5 specifies the activation diagnostics required to determine whether this observation reflects true insensitivity or limited score support.</w:t>
      </w:r>
    </w:p>
    <w:p w14:paraId="3107DC4D">
      <w:pPr>
        <w:keepLines w:val="0"/>
        <w:widowControl/>
        <w:numPr>
          <w:ilvl w:val="0"/>
          <w:numId w:val="2"/>
        </w:numPr>
        <w:spacing w:line="276" w:lineRule="auto" w:before="0" w:after="80"/>
        <w:jc w:val="both"/>
      </w:pPr>
      <w:r>
        <w:rPr>
          <w:rFonts w:ascii="Times New Roman" w:hAnsi="Times New Roman" w:eastAsia="Times New Roman" w:cs="Times New Roman"/>
          <w:b w:val="0"/>
          <w:i w:val="0"/>
          <w:color w:val="000000"/>
          <w:sz w:val="20"/>
        </w:rPr>
        <w:t>If the deployment target is at least 30 FPS and the memory budget is up to 600 MB, Base and +gating satisfy tracker-internal throughput and memory constraints under Scope A. However, end-to-end throughput must be verified using Scope B measurements before any deployment-capacity claim is made.</w:t>
      </w:r>
    </w:p>
    <w:p w14:paraId="1C34A821">
      <w:pPr>
        <w:keepLines w:val="0"/>
        <w:widowControl/>
        <w:numPr>
          <w:ilvl w:val="0"/>
          <w:numId w:val="2"/>
        </w:numPr>
        <w:spacing w:line="276" w:lineRule="auto" w:before="0" w:after="80"/>
        <w:jc w:val="both"/>
        <w:rPr>
          <w:rFonts w:ascii="Times New Roman" w:hAnsi="Times New Roman"/>
          <w:b w:val="0"/>
          <w:i w:val="0"/>
          <w:sz w:val="20"/>
        </w:rPr>
      </w:pPr>
      <w:r>
        <w:rPr>
          <w:rFonts w:ascii="Times New Roman" w:hAnsi="Times New Roman" w:eastAsia="Times New Roman" w:cs="Times New Roman"/>
          <w:b w:val="0"/>
          <w:i w:val="0"/>
          <w:color w:val="000000"/>
          <w:sz w:val="20"/>
        </w:rPr>
        <w:t>If heavier computation is acceptable, such as in server-side analysis, +traj and +adaptive can be considered, but their speed, memory, and CPU costs should be justified by task-specific value.</w:t>
      </w:r>
    </w:p>
    <w:p w14:paraId="5AA47B5B">
      <w:pPr>
        <w:keepLines w:val="0"/>
        <w:widowControl/>
        <w:numPr>
          <w:ilvl w:val="0"/>
          <w:numId w:val="2"/>
        </w:numPr>
        <w:spacing w:line="276" w:lineRule="auto" w:before="0" w:after="80"/>
        <w:jc w:val="both"/>
        <w:rPr>
          <w:rFonts w:ascii="Times New Roman" w:hAnsi="Times New Roman"/>
          <w:b w:val="0"/>
          <w:i w:val="0"/>
          <w:sz w:val="20"/>
        </w:rPr>
      </w:pPr>
      <w:r>
        <w:rPr>
          <w:rFonts w:ascii="Times New Roman" w:hAnsi="Times New Roman" w:eastAsia="Times New Roman" w:cs="Times New Roman"/>
          <w:b w:val="0"/>
          <w:i w:val="0"/>
          <w:color w:val="000000"/>
          <w:sz w:val="20"/>
        </w:rPr>
        <w:t>Low-confidence and turning buckets show marked IDSW growth, suggesting that online confidence alarms or conservative association policies may be useful under these conditions.</w:t>
      </w:r>
    </w:p>
    <w:bookmarkEnd w:id="46"/>
    <w:p w14:paraId="3E2E8DFA">
      <w:pPr>
        <w:pStyle w:val="2"/>
        <w:keepNext/>
        <w:keepLines w:val="0"/>
        <w:widowControl/>
        <w:jc w:val="left"/>
        <w:rPr>
          <w:rFonts w:ascii="Times New Roman" w:hAnsi="Times New Roman" w:eastAsia="Times New Roman" w:cs="Times New Roman"/>
          <w:b w:val="0"/>
          <w:i w:val="0"/>
          <w:color w:val="000000"/>
          <w:sz w:val="20"/>
          <w:szCs w:val="24"/>
          <w:lang w:val="en-US" w:eastAsia="zh-CN" w:bidi="ar-SA"/>
        </w:rPr>
      </w:pPr>
      <w:bookmarkStart w:id="47" w:name="Xe463819a117519edc52f9c7bb734c4575d8e15f"/>
      <w:r>
        <w:rPr>
          <w:rFonts w:ascii="Times New Roman" w:hAnsi="Times New Roman" w:eastAsia="Times New Roman" w:cs="Times New Roman"/>
          <w:b w:val="0"/>
          <w:i w:val="0"/>
          <w:color w:val="000000"/>
          <w:sz w:val="20"/>
          <w:szCs w:val="24"/>
          <w:lang w:val="en-US" w:eastAsia="zh-CN" w:bidi="ar-SA"/>
        </w:rPr>
        <w:t>Together, these results connect global benchmark metrics, failure-bucket diagnostics, and resource constraints to deployment-oriented interpretation.</w:t>
      </w:r>
    </w:p>
    <w:p w14:paraId="2C4BE647">
      <w:pPr>
        <w:pStyle w:val="18"/>
        <w:keepNext w:val="0"/>
        <w:keepLines w:val="0"/>
        <w:widowControl/>
        <w:suppressLineNumbers w:val="0"/>
        <w:rPr>
          <w:rFonts w:hint="eastAsia" w:eastAsiaTheme="majorEastAsia"/>
          <w:lang w:val="en-US" w:eastAsia="zh-CN"/>
        </w:rPr>
      </w:pPr>
      <w:r>
        <w:rPr>
          <w:rFonts w:ascii="Times New Roman" w:hAnsi="Times New Roman" w:eastAsia="Times New Roman" w:cs="Times New Roman"/>
          <w:b/>
          <w:color w:val="000000"/>
          <w:sz w:val="20"/>
        </w:rPr>
        <w:t xml:space="preserve">5.1 </w:t>
      </w:r>
      <w:r>
        <w:rPr>
          <w:rFonts w:hint="eastAsia" w:ascii="Times New Roman" w:hAnsi="Times New Roman" w:eastAsia="Times New Roman" w:cs="Times New Roman"/>
          <w:b/>
          <w:color w:val="000000"/>
          <w:sz w:val="20"/>
          <w:lang w:val="en-US" w:eastAsia="zh-CN"/>
        </w:rPr>
        <w:t xml:space="preserve"> </w:t>
      </w:r>
      <w:r>
        <w:rPr>
          <w:rFonts w:ascii="Times New Roman" w:hAnsi="Times New Roman" w:eastAsia="Times New Roman" w:cs="Times New Roman"/>
          <w:b/>
          <w:i w:val="0"/>
          <w:color w:val="000000"/>
          <w:sz w:val="20"/>
        </w:rPr>
        <w:t>Extension protocol for cross-domain validation</w:t>
      </w:r>
    </w:p>
    <w:p w14:paraId="021E7E52">
      <w:pPr>
        <w:keepLines w:val="0"/>
        <w:widowControl/>
        <w:numPr>
          <w:ilvl w:val="0"/>
          <w:numId w:val="0"/>
        </w:numPr>
        <w:spacing w:line="276" w:lineRule="auto" w:before="0" w:after="80"/>
        <w:jc w:val="both"/>
        <w:rPr>
          <w:rFonts w:ascii="Times New Roman" w:hAnsi="Times New Roman"/>
          <w:b w:val="0"/>
          <w:i w:val="0"/>
          <w:sz w:val="20"/>
        </w:rPr>
      </w:pPr>
      <w:r>
        <w:rPr>
          <w:rFonts w:ascii="Times New Roman" w:hAnsi="Times New Roman" w:eastAsia="Times New Roman" w:cs="Times New Roman"/>
          <w:b w:val="0"/>
          <w:i w:val="0"/>
          <w:color w:val="000000"/>
          <w:sz w:val="20"/>
        </w:rPr>
        <w:t>To improve external validity in future work, we outline a staged protocol with three progressively higher-cost phases:</w:t>
      </w:r>
    </w:p>
    <w:p w14:paraId="501EC4E5">
      <w:pPr>
        <w:keepLines w:val="0"/>
        <w:widowControl/>
        <w:numPr>
          <w:ilvl w:val="0"/>
          <w:numId w:val="4"/>
        </w:numPr>
        <w:spacing w:line="276" w:lineRule="auto" w:before="0" w:after="80"/>
        <w:jc w:val="both"/>
      </w:pPr>
      <w:r>
        <w:rPr>
          <w:rFonts w:ascii="Times New Roman" w:hAnsi="Times New Roman" w:eastAsia="Times New Roman" w:cs="Times New Roman"/>
          <w:color w:val="000000"/>
          <w:sz w:val="20"/>
        </w:rPr>
        <w:t>Stage 1 (cross-day, same pond/device). Calibrate on Day-A and evaluate on Day-B. Transfer tracker hyper-parameters directly; re-estimate only drift-trigger thresholds when needed.</w:t>
      </w:r>
    </w:p>
    <w:p w14:paraId="1B69DE29">
      <w:pPr>
        <w:keepLines w:val="0"/>
        <w:widowControl/>
        <w:numPr>
          <w:ilvl w:val="0"/>
          <w:numId w:val="4"/>
        </w:numPr>
        <w:spacing w:line="276" w:lineRule="auto" w:before="0" w:after="80"/>
        <w:jc w:val="both"/>
      </w:pPr>
      <w:r>
        <w:rPr>
          <w:rFonts w:ascii="Times New Roman" w:hAnsi="Times New Roman" w:eastAsia="Times New Roman" w:cs="Times New Roman"/>
          <w:color w:val="000000"/>
          <w:sz w:val="20"/>
        </w:rPr>
        <w:t>Stage 2 (cross-pond, same device). Calibrate on Pond-1 and evaluate on Pond-2. Keep association design fixed; permit short-window threshold re-calibration.</w:t>
      </w:r>
    </w:p>
    <w:p w14:paraId="6C9BA51A">
      <w:pPr>
        <w:keepLines w:val="0"/>
        <w:widowControl/>
        <w:numPr>
          <w:ilvl w:val="0"/>
          <w:numId w:val="4"/>
        </w:numPr>
        <w:spacing w:line="276" w:lineRule="auto" w:before="0" w:after="80"/>
        <w:jc w:val="both"/>
      </w:pPr>
      <w:r>
        <w:rPr>
          <w:rFonts w:ascii="Times New Roman" w:hAnsi="Times New Roman" w:eastAsia="Times New Roman" w:cs="Times New Roman"/>
          <w:color w:val="000000"/>
          <w:sz w:val="20"/>
        </w:rPr>
        <w:t>Stage 3 (cross-device or public dataset transfer). Use farm-calibrated settings as zero-shot initialization, then perform limited re-calibration of confidence and drift-trigger thresholds.</w:t>
      </w:r>
    </w:p>
    <w:p w14:paraId="64015A66">
      <w:pPr>
        <w:pStyle w:val="25"/>
        <w:keepLines w:val="0"/>
        <w:widowControl/>
        <w:spacing w:line="276" w:lineRule="auto" w:before="0" w:after="80"/>
        <w:jc w:val="both"/>
      </w:pPr>
      <w:r>
        <w:rPr>
          <w:rFonts w:ascii="Times New Roman" w:hAnsi="Times New Roman" w:eastAsia="Times New Roman" w:cs="Times New Roman"/>
          <w:color w:val="000000"/>
          <w:sz w:val="20"/>
        </w:rPr>
        <w:t>For each plan, report overall metrics (HOTA, IDF1, IDSW, CountMAE), drift indicators (D_in, D_out), stratified bucket risk shift, and gating trigger-rate shift.</w:t>
      </w:r>
    </w:p>
    <w:p w14:paraId="5A74B1F9">
      <w:pPr>
        <w:pStyle w:val="6"/>
        <w:keepNext/>
        <w:keepLines w:val="0"/>
        <w:widowControl/>
        <w:jc w:val="left"/>
        <w:rPr>
          <w:rFonts w:ascii="Times New Roman" w:hAnsi="Times New Roman"/>
          <w:i w:val="0"/>
        </w:rPr>
      </w:pPr>
      <w:bookmarkStart w:id="48" w:name="planned-reporting-items-todo."/>
      <w:r>
        <w:rPr>
          <w:rFonts w:ascii="Times New Roman" w:hAnsi="Times New Roman" w:eastAsia="Times New Roman" w:cs="Times New Roman"/>
          <w:i w:val="0"/>
          <w:color w:val="000000"/>
        </w:rPr>
        <w:t>Suggested reporting items for future cross-domain validation</w:t>
      </w:r>
    </w:p>
    <w:p w14:paraId="76ACA4FA">
      <w:pPr>
        <w:keepLines w:val="0"/>
        <w:widowControl/>
        <w:numPr>
          <w:ilvl w:val="0"/>
          <w:numId w:val="2"/>
        </w:numPr>
        <w:spacing w:line="276" w:lineRule="auto" w:before="0" w:after="80"/>
        <w:jc w:val="both"/>
      </w:pPr>
      <w:r>
        <w:rPr>
          <w:rFonts w:ascii="Times New Roman" w:hAnsi="Times New Roman" w:eastAsia="Times New Roman" w:cs="Times New Roman"/>
          <w:color w:val="000000"/>
          <w:sz w:val="20"/>
        </w:rPr>
        <w:t>Fig G1: in-domain vs cross-domain radar (HOTA/IDF1/IDSW/CountMAE).</w:t>
      </w:r>
    </w:p>
    <w:p w14:paraId="29E4D153">
      <w:pPr>
        <w:keepLines w:val="0"/>
        <w:widowControl/>
        <w:numPr>
          <w:ilvl w:val="0"/>
          <w:numId w:val="2"/>
        </w:numPr>
        <w:spacing w:line="276" w:lineRule="auto" w:before="0" w:after="80"/>
        <w:jc w:val="both"/>
      </w:pPr>
      <w:r>
        <w:rPr>
          <w:rFonts w:ascii="Times New Roman" w:hAnsi="Times New Roman" w:eastAsia="Times New Roman" w:cs="Times New Roman"/>
          <w:color w:val="000000"/>
          <w:sz w:val="20"/>
        </w:rPr>
        <w:t>Fig G2: drift indicator trajectories (D_in, D_out) across domains.</w:t>
      </w:r>
    </w:p>
    <w:p w14:paraId="1C473F43">
      <w:pPr>
        <w:keepLines w:val="0"/>
        <w:widowControl/>
        <w:numPr>
          <w:ilvl w:val="0"/>
          <w:numId w:val="2"/>
        </w:numPr>
        <w:spacing w:line="276" w:lineRule="auto" w:before="0" w:after="80"/>
        <w:jc w:val="both"/>
      </w:pPr>
      <w:r>
        <w:rPr>
          <w:rFonts w:ascii="Times New Roman" w:hAnsi="Times New Roman" w:eastAsia="Times New Roman" w:cs="Times New Roman"/>
          <w:color w:val="000000"/>
          <w:sz w:val="20"/>
        </w:rPr>
        <w:t>Table G1: transferable vs re-calibrated parameters per plan.</w:t>
      </w:r>
    </w:p>
    <w:bookmarkEnd w:id="48"/>
    <w:p w14:paraId="3F445D61">
      <w:pPr>
        <w:pStyle w:val="6"/>
        <w:keepNext/>
        <w:keepLines w:val="0"/>
        <w:widowControl/>
        <w:jc w:val="left"/>
      </w:pPr>
      <w:bookmarkStart w:id="49" w:name="failure-interpretation-protocol."/>
      <w:r>
        <w:rPr>
          <w:rFonts w:ascii="Times New Roman" w:hAnsi="Times New Roman" w:eastAsia="Times New Roman" w:cs="Times New Roman"/>
          <w:color w:val="000000"/>
        </w:rPr>
        <w:t>Failure interpretation protocol.</w:t>
      </w:r>
    </w:p>
    <w:p w14:paraId="3AA62E28">
      <w:pPr>
        <w:pStyle w:val="25"/>
        <w:keepLines w:val="0"/>
        <w:widowControl/>
        <w:spacing w:line="276" w:lineRule="auto" w:before="0" w:after="80"/>
        <w:jc w:val="both"/>
      </w:pPr>
      <w:r>
        <w:rPr>
          <w:rFonts w:ascii="Times New Roman" w:hAnsi="Times New Roman" w:eastAsia="Times New Roman" w:cs="Times New Roman"/>
          <w:color w:val="000000"/>
          <w:sz w:val="20"/>
        </w:rPr>
        <w:t>If cross-domain performance degrades, we report whether degradation is dominated by (i) input drift (feature distribution shift), (ii) output drift (IDSW/CountMAE escalation), or (iii) both; and map each case to mitigation steps (threshold re-calibration, conservative mode, or detector refresh).</w:t>
      </w:r>
    </w:p>
    <w:bookmarkEnd w:id="47"/>
    <w:bookmarkEnd w:id="49"/>
    <w:p w14:paraId="51BD2B89">
      <w:pPr>
        <w:pStyle w:val="2"/>
        <w:keepNext/>
        <w:keepLines w:val="0"/>
        <w:widowControl/>
        <w:jc w:val="left"/>
      </w:pPr>
      <w:bookmarkStart w:id="50" w:name="nomenclature-notation"/>
      <w:r>
        <w:rPr>
          <w:rFonts w:ascii="Times New Roman" w:hAnsi="Times New Roman" w:eastAsia="Times New Roman" w:cs="Times New Roman"/>
          <w:b/>
          <w:color w:val="000000"/>
          <w:sz w:val="20"/>
        </w:rPr>
        <w:t>5.2 Nomenclature / notation</w:t>
      </w:r>
    </w:p>
    <w:p w14:paraId="6FBEE6D9">
      <w:pPr>
        <w:pStyle w:val="46"/>
        <w:keepNext/>
        <w:keepLines w:val="0"/>
        <w:widowControl/>
        <w:jc w:val="left"/>
      </w:pPr>
      <w:bookmarkStart w:id="51" w:name="tab:nomenclature"/>
      <w:r>
        <w:rPr>
          <w:rFonts w:ascii="Times New Roman" w:hAnsi="Times New Roman" w:eastAsia="Times New Roman" w:cs="Times New Roman"/>
          <w:color w:val="000000"/>
          <w:sz w:val="20"/>
        </w:rPr>
        <w:t>Core symbols used in drift-aware monitoring and counting diagnostics.</w:t>
      </w:r>
    </w:p>
    <w:tbl>
      <w:tblPr>
        <w:tblStyle w:val="43"/>
        <w:tblW w:w="4700" w:type="pct"/>
        <w:tblCaption w:val="Core symbols used in drift-aware monitoring and counting diagnostics."/>
        <w:jc w:val="center"/>
        <w:tblInd w:w="0" w:type="dxa"/>
        <w:tblLayout w:type="autofit"/>
        <w:tblCellMar>
          <w:top w:w="0" w:type="dxa"/>
          <w:left w:w="108" w:type="dxa"/>
          <w:bottom w:w="0" w:type="dxa"/>
          <w:right w:w="108" w:type="dxa"/>
        </w:tblCellMar>
      </w:tblPr>
      <w:tblGrid>
        <w:gridCol w:w="2217"/>
        <w:gridCol w:w="6470"/>
      </w:tblGrid>
      <w:tr w14:paraId="2CAF5CBB">
        <w:tblPrEx>
          <w:tblCellMar>
            <w:top w:w="0" w:type="dxa"/>
            <w:left w:w="108" w:type="dxa"/>
            <w:bottom w:w="0" w:type="dxa"/>
            <w:right w:w="108" w:type="dxa"/>
          </w:tblCellMar>
        </w:tblPrEx>
        <w:trPr>
          <w:tblHeader/>
        </w:trPr>
        <w:tc>
          <w:tcPr>
            <w:tcBorders>
              <w:top w:val="single" w:color="000000" w:sz="8" w:space="0"/>
              <w:left w:val="nil"/>
              <w:bottom w:val="single" w:color="000000" w:sz="6" w:space="0"/>
              <w:right w:val="nil"/>
            </w:tcBorders>
            <w:vAlign w:val="center"/>
          </w:tcPr>
          <w:p w14:paraId="2C3D40D7">
            <w:pPr>
              <w:pStyle w:val="26"/>
              <w:spacing w:line="240" w:lineRule="auto" w:before="0" w:after="20"/>
              <w:jc w:val="left"/>
            </w:pPr>
            <w:r>
              <w:rPr>
                <w:rFonts w:ascii="Times New Roman" w:hAnsi="Times New Roman" w:eastAsia="Times New Roman" w:cs="Times New Roman"/>
                <w:b/>
                <w:color w:val="000000"/>
                <w:sz w:val="19"/>
              </w:rPr>
              <w:t>Symbol</w:t>
            </w:r>
          </w:p>
        </w:tc>
        <w:tc>
          <w:tcPr>
            <w:tcBorders>
              <w:top w:val="single" w:color="000000" w:sz="8" w:space="0"/>
              <w:left w:val="nil"/>
              <w:bottom w:val="single" w:color="000000" w:sz="6" w:space="0"/>
              <w:right w:val="nil"/>
            </w:tcBorders>
            <w:vAlign w:val="center"/>
          </w:tcPr>
          <w:p w14:paraId="0376B65F">
            <w:pPr>
              <w:pStyle w:val="26"/>
              <w:spacing w:line="240" w:lineRule="auto" w:before="0" w:after="20"/>
              <w:jc w:val="center"/>
            </w:pPr>
            <w:r>
              <w:rPr>
                <w:rFonts w:ascii="Times New Roman" w:hAnsi="Times New Roman" w:eastAsia="Times New Roman" w:cs="Times New Roman"/>
                <w:b/>
                <w:color w:val="000000"/>
                <w:sz w:val="19"/>
              </w:rPr>
              <w:t>Definition</w:t>
            </w:r>
          </w:p>
        </w:tc>
      </w:tr>
      <w:tr w14:paraId="3BDD85C7">
        <w:tblPrEx>
          <w:tblCellMar>
            <w:top w:w="0" w:type="dxa"/>
            <w:left w:w="108" w:type="dxa"/>
            <w:bottom w:w="0" w:type="dxa"/>
            <w:right w:w="108" w:type="dxa"/>
          </w:tblCellMar>
        </w:tblPrEx>
        <w:tc>
          <w:tcPr>
            <w:tcBorders>
              <w:top w:val="nil"/>
              <w:left w:val="nil"/>
              <w:bottom w:val="nil"/>
              <w:right w:val="nil"/>
            </w:tcBorders>
            <w:vAlign w:val="center"/>
          </w:tcPr>
          <w:p w14:paraId="7D9E9507">
            <w:pPr>
              <w:spacing w:line="240" w:lineRule="auto" w:before="0" w:after="20"/>
              <w:jc w:val="left"/>
            </w:pPr>
            <w:r>
              <w:rPr>
                <w:rFonts w:ascii="Times New Roman" w:hAnsi="Times New Roman" w:eastAsia="Times New Roman" w:cs="Times New Roman"/>
                <w:color w:val="000000"/>
                <w:sz w:val="19"/>
              </w:rPr>
              <w:t>D_in</w:t>
            </w:r>
          </w:p>
        </w:tc>
        <w:tc>
          <w:tcPr>
            <w:tcBorders>
              <w:top w:val="nil"/>
              <w:left w:val="nil"/>
              <w:bottom w:val="nil"/>
              <w:right w:val="nil"/>
            </w:tcBorders>
            <w:vAlign w:val="center"/>
          </w:tcPr>
          <w:p w14:paraId="0A912C5A">
            <w:pPr>
              <w:pStyle w:val="26"/>
              <w:spacing w:line="240" w:lineRule="auto" w:before="0" w:after="20"/>
              <w:jc w:val="center"/>
            </w:pPr>
            <w:r>
              <w:rPr>
                <w:rFonts w:ascii="Times New Roman" w:hAnsi="Times New Roman" w:eastAsia="Times New Roman" w:cs="Times New Roman"/>
                <w:color w:val="000000"/>
                <w:sz w:val="19"/>
              </w:rPr>
              <w:t>Input-drift indicator (windowed CDF distance to reference).</w:t>
            </w:r>
          </w:p>
        </w:tc>
      </w:tr>
      <w:tr w14:paraId="37E8657D">
        <w:tblPrEx>
          <w:tblCellMar>
            <w:top w:w="0" w:type="dxa"/>
            <w:left w:w="108" w:type="dxa"/>
            <w:bottom w:w="0" w:type="dxa"/>
            <w:right w:w="108" w:type="dxa"/>
          </w:tblCellMar>
        </w:tblPrEx>
        <w:tc>
          <w:tcPr>
            <w:tcBorders>
              <w:top w:val="nil"/>
              <w:left w:val="nil"/>
              <w:bottom w:val="nil"/>
              <w:right w:val="nil"/>
            </w:tcBorders>
            <w:vAlign w:val="center"/>
          </w:tcPr>
          <w:p w14:paraId="30A6D196">
            <w:pPr>
              <w:spacing w:line="240" w:lineRule="auto" w:before="0" w:after="20"/>
              <w:jc w:val="left"/>
            </w:pPr>
            <w:r>
              <w:rPr>
                <w:rFonts w:ascii="Times New Roman" w:hAnsi="Times New Roman" w:eastAsia="Times New Roman" w:cs="Times New Roman"/>
                <w:color w:val="000000"/>
                <w:sz w:val="19"/>
              </w:rPr>
              <w:t>D_out</w:t>
            </w:r>
          </w:p>
        </w:tc>
        <w:tc>
          <w:tcPr>
            <w:tcBorders>
              <w:top w:val="nil"/>
              <w:left w:val="nil"/>
              <w:bottom w:val="nil"/>
              <w:right w:val="nil"/>
            </w:tcBorders>
            <w:vAlign w:val="center"/>
          </w:tcPr>
          <w:p w14:paraId="73E5A796">
            <w:pPr>
              <w:pStyle w:val="26"/>
              <w:spacing w:line="240" w:lineRule="auto" w:before="0" w:after="20"/>
              <w:jc w:val="center"/>
            </w:pPr>
            <w:r>
              <w:rPr>
                <w:rFonts w:ascii="Times New Roman" w:hAnsi="Times New Roman" w:eastAsia="Times New Roman" w:cs="Times New Roman"/>
                <w:color w:val="000000"/>
                <w:sz w:val="19"/>
              </w:rPr>
              <w:t>Output-drift indicator (normalized quality deviation).</w:t>
            </w:r>
          </w:p>
        </w:tc>
      </w:tr>
      <w:tr w14:paraId="072BD976">
        <w:tblPrEx>
          <w:tblCellMar>
            <w:top w:w="0" w:type="dxa"/>
            <w:left w:w="108" w:type="dxa"/>
            <w:bottom w:w="0" w:type="dxa"/>
            <w:right w:w="108" w:type="dxa"/>
          </w:tblCellMar>
        </w:tblPrEx>
        <w:tc>
          <w:tcPr>
            <w:tcBorders>
              <w:top w:val="nil"/>
              <w:left w:val="nil"/>
              <w:bottom w:val="nil"/>
              <w:right w:val="nil"/>
            </w:tcBorders>
            <w:vAlign w:val="center"/>
          </w:tcPr>
          <w:p w14:paraId="4B187EAC">
            <w:pPr>
              <w:spacing w:line="240" w:lineRule="auto" w:before="0" w:after="20"/>
              <w:jc w:val="left"/>
            </w:pPr>
            <w:r>
              <w:rPr>
                <w:rFonts w:ascii="Times New Roman" w:hAnsi="Times New Roman" w:eastAsia="Times New Roman" w:cs="Times New Roman"/>
                <w:color w:val="000000"/>
                <w:sz w:val="19"/>
              </w:rPr>
              <w:t>s_gate</w:t>
            </w:r>
          </w:p>
        </w:tc>
        <w:tc>
          <w:tcPr>
            <w:tcBorders>
              <w:top w:val="nil"/>
              <w:left w:val="nil"/>
              <w:bottom w:val="nil"/>
              <w:right w:val="nil"/>
            </w:tcBorders>
            <w:vAlign w:val="center"/>
          </w:tcPr>
          <w:p w14:paraId="2B5F590C">
            <w:pPr>
              <w:pStyle w:val="26"/>
              <w:spacing w:line="240" w:lineRule="auto" w:before="0" w:after="20"/>
              <w:jc w:val="center"/>
            </w:pPr>
            <w:r>
              <w:rPr>
                <w:rFonts w:ascii="Times New Roman" w:hAnsi="Times New Roman" w:eastAsia="Times New Roman" w:cs="Times New Roman"/>
                <w:color w:val="000000"/>
                <w:sz w:val="19"/>
              </w:rPr>
              <w:t>Gating score, defined as squared Mahalanobis distance in association.</w:t>
            </w:r>
          </w:p>
        </w:tc>
      </w:tr>
      <w:tr w14:paraId="7C383599">
        <w:tblPrEx>
          <w:tblCellMar>
            <w:top w:w="0" w:type="dxa"/>
            <w:left w:w="108" w:type="dxa"/>
            <w:bottom w:w="0" w:type="dxa"/>
            <w:right w:w="108" w:type="dxa"/>
          </w:tblCellMar>
        </w:tblPrEx>
        <w:tc>
          <w:tcPr>
            <w:tcBorders>
              <w:top w:val="nil"/>
              <w:left w:val="nil"/>
              <w:bottom w:val="nil"/>
              <w:right w:val="nil"/>
            </w:tcBorders>
            <w:vAlign w:val="center"/>
          </w:tcPr>
          <w:p w14:paraId="5E823B0D">
            <w:pPr>
              <w:spacing w:line="240" w:lineRule="auto" w:before="0" w:after="20"/>
              <w:jc w:val="left"/>
            </w:pPr>
            <w:r>
              <w:rPr>
                <w:rFonts w:ascii="Times New Roman" w:hAnsi="Times New Roman" w:eastAsia="Times New Roman" w:cs="Times New Roman"/>
                <w:color w:val="000000"/>
                <w:sz w:val="19"/>
              </w:rPr>
              <w:t>τ_g</w:t>
            </w:r>
          </w:p>
        </w:tc>
        <w:tc>
          <w:tcPr>
            <w:tcBorders>
              <w:top w:val="nil"/>
              <w:left w:val="nil"/>
              <w:bottom w:val="nil"/>
              <w:right w:val="nil"/>
            </w:tcBorders>
            <w:vAlign w:val="center"/>
          </w:tcPr>
          <w:p w14:paraId="2D1250B9">
            <w:pPr>
              <w:spacing w:line="240" w:lineRule="auto" w:before="0" w:after="20"/>
              <w:jc w:val="center"/>
            </w:pPr>
            <w:r>
              <w:rPr>
                <w:rFonts w:ascii="Times New Roman" w:hAnsi="Times New Roman" w:eastAsia="Times New Roman" w:cs="Times New Roman"/>
                <w:color w:val="000000"/>
                <w:sz w:val="19"/>
              </w:rPr>
              <w:t>Gating threshold applied to s_gate.</w:t>
            </w:r>
          </w:p>
        </w:tc>
      </w:tr>
      <w:tr w14:paraId="7935D09E">
        <w:tblPrEx>
          <w:tblCellMar>
            <w:top w:w="0" w:type="dxa"/>
            <w:left w:w="108" w:type="dxa"/>
            <w:bottom w:w="0" w:type="dxa"/>
            <w:right w:w="108" w:type="dxa"/>
          </w:tblCellMar>
        </w:tblPrEx>
        <w:tc>
          <w:tcPr>
            <w:tcBorders>
              <w:top w:val="nil"/>
              <w:left w:val="nil"/>
              <w:bottom w:val="nil"/>
              <w:right w:val="nil"/>
            </w:tcBorders>
            <w:vAlign w:val="center"/>
          </w:tcPr>
          <w:p w14:paraId="37C79700">
            <w:pPr>
              <w:pStyle w:val="26"/>
              <w:spacing w:line="240" w:lineRule="auto" w:before="0" w:after="20"/>
              <w:jc w:val="left"/>
            </w:pPr>
            <w:r>
              <w:rPr>
                <w:rFonts w:ascii="Times New Roman" w:hAnsi="Times New Roman" w:eastAsia="Times New Roman" w:cs="Times New Roman"/>
                <w:color w:val="000000"/>
                <w:sz w:val="19"/>
              </w:rPr>
              <w:t>cpu_mean_norm_percent</w:t>
            </w:r>
          </w:p>
        </w:tc>
        <w:tc>
          <w:tcPr>
            <w:tcBorders>
              <w:top w:val="nil"/>
              <w:left w:val="nil"/>
              <w:bottom w:val="nil"/>
              <w:right w:val="nil"/>
            </w:tcBorders>
            <w:vAlign w:val="center"/>
          </w:tcPr>
          <w:p w14:paraId="7F26E484">
            <w:pPr>
              <w:spacing w:line="240" w:lineRule="auto" w:before="0" w:after="20"/>
              <w:jc w:val="center"/>
            </w:pPr>
            <w:r>
              <w:rPr>
                <w:rFonts w:ascii="Times New Roman" w:hAnsi="Times New Roman" w:eastAsia="Times New Roman" w:cs="Times New Roman"/>
                <w:color w:val="000000"/>
                <w:sz w:val="19"/>
              </w:rPr>
              <w:t>Normalized CPU percentage, defined as cpu_mean_1core_percent / N_logical_cpu.</w:t>
            </w:r>
          </w:p>
        </w:tc>
      </w:tr>
      <w:tr w14:paraId="66E2D71D">
        <w:tblPrEx>
          <w:tblCellMar>
            <w:top w:w="0" w:type="dxa"/>
            <w:left w:w="108" w:type="dxa"/>
            <w:bottom w:w="0" w:type="dxa"/>
            <w:right w:w="108" w:type="dxa"/>
          </w:tblCellMar>
        </w:tblPrEx>
        <w:tc>
          <w:tcPr>
            <w:tcBorders>
              <w:top w:val="nil"/>
              <w:left w:val="nil"/>
              <w:bottom w:val="nil"/>
              <w:right w:val="nil"/>
            </w:tcBorders>
            <w:vAlign w:val="center"/>
          </w:tcPr>
          <w:p w14:paraId="21FBD865">
            <w:pPr>
              <w:pStyle w:val="26"/>
              <w:spacing w:line="240" w:lineRule="auto" w:before="0" w:after="20"/>
              <w:jc w:val="left"/>
            </w:pPr>
            <w:r>
              <w:rPr>
                <w:rFonts w:ascii="Times New Roman" w:hAnsi="Times New Roman" w:eastAsia="Times New Roman" w:cs="Times New Roman"/>
                <w:color w:val="000000"/>
                <w:sz w:val="19"/>
              </w:rPr>
              <w:t>CountMAE</w:t>
            </w:r>
          </w:p>
        </w:tc>
        <w:tc>
          <w:tcPr>
            <w:tcBorders>
              <w:top w:val="nil"/>
              <w:left w:val="nil"/>
              <w:bottom w:val="nil"/>
              <w:right w:val="nil"/>
            </w:tcBorders>
            <w:vAlign w:val="center"/>
          </w:tcPr>
          <w:p w14:paraId="3EBB0FB8">
            <w:pPr>
              <w:pStyle w:val="26"/>
              <w:spacing w:line="240" w:lineRule="auto" w:before="0" w:after="20"/>
              <w:jc w:val="center"/>
            </w:pPr>
            <w:r>
              <w:rPr>
                <w:rFonts w:ascii="Times New Roman" w:hAnsi="Times New Roman" w:eastAsia="Times New Roman" w:cs="Times New Roman"/>
                <w:color w:val="000000"/>
                <w:sz w:val="19"/>
              </w:rPr>
              <w:t>Mean absolute counting error per evaluation unit.</w:t>
            </w:r>
          </w:p>
        </w:tc>
      </w:tr>
      <w:tr w14:paraId="5006F2D0">
        <w:tblPrEx>
          <w:tblCellMar>
            <w:top w:w="0" w:type="dxa"/>
            <w:left w:w="108" w:type="dxa"/>
            <w:bottom w:w="0" w:type="dxa"/>
            <w:right w:w="108" w:type="dxa"/>
          </w:tblCellMar>
        </w:tblPrEx>
        <w:tc>
          <w:tcPr>
            <w:tcBorders>
              <w:top w:val="nil"/>
              <w:left w:val="nil"/>
              <w:bottom w:val="nil"/>
              <w:right w:val="nil"/>
            </w:tcBorders>
            <w:vAlign w:val="center"/>
          </w:tcPr>
          <w:p w14:paraId="6F99A2B6">
            <w:pPr>
              <w:pStyle w:val="26"/>
              <w:spacing w:line="240" w:lineRule="auto" w:before="0" w:after="20"/>
              <w:jc w:val="left"/>
            </w:pPr>
            <w:r>
              <w:rPr>
                <w:rFonts w:ascii="Times New Roman" w:hAnsi="Times New Roman" w:eastAsia="Times New Roman" w:cs="Times New Roman"/>
                <w:color w:val="000000"/>
                <w:sz w:val="19"/>
              </w:rPr>
              <w:t>CountRMSE</w:t>
            </w:r>
          </w:p>
        </w:tc>
        <w:tc>
          <w:tcPr>
            <w:tcBorders>
              <w:top w:val="nil"/>
              <w:left w:val="nil"/>
              <w:bottom w:val="nil"/>
              <w:right w:val="nil"/>
            </w:tcBorders>
            <w:vAlign w:val="center"/>
          </w:tcPr>
          <w:p w14:paraId="56FD1897">
            <w:pPr>
              <w:pStyle w:val="26"/>
              <w:spacing w:line="240" w:lineRule="auto" w:before="0" w:after="20"/>
              <w:jc w:val="center"/>
            </w:pPr>
            <w:r>
              <w:rPr>
                <w:rFonts w:ascii="Times New Roman" w:hAnsi="Times New Roman" w:eastAsia="Times New Roman" w:cs="Times New Roman"/>
                <w:color w:val="000000"/>
                <w:sz w:val="19"/>
              </w:rPr>
              <w:t>Root mean squared counting error per evaluation unit.</w:t>
            </w:r>
          </w:p>
        </w:tc>
      </w:tr>
      <w:tr w14:paraId="684CBB30">
        <w:tblPrEx>
          <w:tblCellMar>
            <w:top w:w="0" w:type="dxa"/>
            <w:left w:w="108" w:type="dxa"/>
            <w:bottom w:w="0" w:type="dxa"/>
            <w:right w:w="108" w:type="dxa"/>
          </w:tblCellMar>
        </w:tblPrEx>
        <w:tc>
          <w:tcPr>
            <w:tcBorders>
              <w:top w:val="nil"/>
              <w:left w:val="nil"/>
              <w:bottom w:val="nil"/>
              <w:right w:val="nil"/>
            </w:tcBorders>
            <w:vAlign w:val="center"/>
          </w:tcPr>
          <w:p w14:paraId="45578EBE">
            <w:pPr>
              <w:pStyle w:val="26"/>
              <w:spacing w:line="240" w:lineRule="auto" w:before="0" w:after="20"/>
              <w:jc w:val="left"/>
            </w:pPr>
            <w:r>
              <w:rPr>
                <w:rFonts w:ascii="Times New Roman" w:hAnsi="Times New Roman" w:eastAsia="Times New Roman" w:cs="Times New Roman"/>
                <w:color w:val="000000"/>
                <w:sz w:val="19"/>
              </w:rPr>
              <w:t>CountVar</w:t>
            </w:r>
          </w:p>
        </w:tc>
        <w:tc>
          <w:tcPr>
            <w:tcBorders>
              <w:top w:val="nil"/>
              <w:left w:val="nil"/>
              <w:bottom w:val="nil"/>
              <w:right w:val="nil"/>
            </w:tcBorders>
            <w:vAlign w:val="center"/>
          </w:tcPr>
          <w:p w14:paraId="631DCBF3">
            <w:pPr>
              <w:pStyle w:val="26"/>
              <w:spacing w:line="240" w:lineRule="auto" w:before="0" w:after="20"/>
              <w:jc w:val="center"/>
            </w:pPr>
            <w:r>
              <w:rPr>
                <w:rFonts w:ascii="Times New Roman" w:hAnsi="Times New Roman" w:eastAsia="Times New Roman" w:cs="Times New Roman"/>
                <w:color w:val="000000"/>
                <w:sz w:val="19"/>
              </w:rPr>
              <w:t>Variance of counting error across evaluation units.</w:t>
            </w:r>
          </w:p>
        </w:tc>
      </w:tr>
      <w:tr w14:paraId="2A01F9F4">
        <w:tblPrEx>
          <w:tblCellMar>
            <w:top w:w="0" w:type="dxa"/>
            <w:left w:w="108" w:type="dxa"/>
            <w:bottom w:w="0" w:type="dxa"/>
            <w:right w:w="108" w:type="dxa"/>
          </w:tblCellMar>
        </w:tblPrEx>
        <w:tc>
          <w:tcPr>
            <w:tcBorders>
              <w:top w:val="nil"/>
              <w:left w:val="nil"/>
              <w:bottom w:val="single" w:color="000000" w:sz="8" w:space="0"/>
              <w:right w:val="nil"/>
            </w:tcBorders>
            <w:vAlign w:val="center"/>
          </w:tcPr>
          <w:p w14:paraId="44DC9E3C">
            <w:pPr>
              <w:pStyle w:val="26"/>
              <w:spacing w:line="240" w:lineRule="auto" w:before="0" w:after="20"/>
              <w:jc w:val="left"/>
            </w:pPr>
            <w:r>
              <w:rPr>
                <w:rFonts w:ascii="Times New Roman" w:hAnsi="Times New Roman" w:eastAsia="Times New Roman" w:cs="Times New Roman"/>
                <w:color w:val="000000"/>
                <w:sz w:val="19"/>
              </w:rPr>
              <w:t>CountDrift</w:t>
            </w:r>
          </w:p>
        </w:tc>
        <w:tc>
          <w:tcPr>
            <w:tcBorders>
              <w:top w:val="nil"/>
              <w:left w:val="nil"/>
              <w:bottom w:val="single" w:color="000000" w:sz="8" w:space="0"/>
              <w:right w:val="nil"/>
            </w:tcBorders>
            <w:vAlign w:val="center"/>
          </w:tcPr>
          <w:p w14:paraId="0284B0D6">
            <w:pPr>
              <w:spacing w:line="240" w:lineRule="auto" w:before="0" w:after="20"/>
              <w:jc w:val="center"/>
            </w:pPr>
            <w:r>
              <w:rPr>
                <w:rFonts w:ascii="Times New Roman" w:hAnsi="Times New Roman" w:eastAsia="Times New Roman" w:cs="Times New Roman"/>
                <w:b w:val="0"/>
                <w:i w:val="0"/>
                <w:color w:val="000000"/>
                <w:sz w:val="19"/>
                <w:szCs w:val="24"/>
                <w:lang w:val="en-US" w:eastAsia="zh-CN" w:bidi="ar-SA"/>
              </w:rPr>
              <w:t>temporal drift statistic of counting error over a window of size W_d. The value of W_d and the reported unit should be fixed according to the frozen script output fields.</w:t>
            </w:r>
          </w:p>
        </w:tc>
      </w:tr>
      <w:bookmarkEnd w:id="50"/>
      <w:bookmarkEnd w:id="51"/>
    </w:tbl>
    <w:p w14:paraId="013841D7">
      <w:pPr>
        <w:pStyle w:val="2"/>
        <w:keepNext/>
        <w:keepLines w:val="0"/>
        <w:widowControl/>
        <w:jc w:val="left"/>
      </w:pPr>
      <w:bookmarkStart w:id="52" w:name="limitations"/>
      <w:r>
        <w:rPr>
          <w:rFonts w:ascii="Times New Roman" w:hAnsi="Times New Roman" w:eastAsia="Times New Roman" w:cs="Times New Roman"/>
          <w:b/>
          <w:color w:val="000000"/>
          <w:sz w:val="20"/>
        </w:rPr>
        <w:t>5.3 Limitations</w:t>
      </w:r>
    </w:p>
    <w:p w14:paraId="242BBBAD">
      <w:pPr>
        <w:pStyle w:val="25"/>
        <w:keepLines w:val="0"/>
        <w:widowControl/>
        <w:spacing w:line="276" w:lineRule="auto" w:before="0" w:after="80"/>
        <w:jc w:val="both"/>
      </w:pPr>
      <w:r>
        <w:rPr>
          <w:rFonts w:ascii="Times New Roman" w:hAnsi="Times New Roman" w:eastAsia="Times New Roman" w:cs="Times New Roman"/>
          <w:color w:val="000000"/>
          <w:sz w:val="20"/>
        </w:rPr>
        <w:t>This study has several limitations. First, the evaluation scope is limited to the current val-half split and detector condition; broader domain shifts (different farms, sensors, water conditions) are not fully covered. Second, our variants do not show universal global metric gains in this frozen run, so conclusions are intentionally framed as trade-offs. Third, runtime profiling is collected on the current host and does not yet include dedicated edge hardware benchmarks. Fourth, although reproducibility metadata is strong, data sharing may still be constrained by upstream licensing.</w:t>
      </w:r>
    </w:p>
    <w:bookmarkEnd w:id="52"/>
    <w:p w14:paraId="0EBF48CC">
      <w:pPr>
        <w:pStyle w:val="2"/>
        <w:keepNext/>
        <w:keepLines w:val="0"/>
        <w:widowControl/>
        <w:jc w:val="left"/>
      </w:pPr>
      <w:bookmarkStart w:id="53" w:name="conclusion-and-future-work"/>
      <w:r>
        <w:rPr>
          <w:rFonts w:ascii="Times New Roman" w:hAnsi="Times New Roman" w:eastAsia="Times New Roman" w:cs="Times New Roman"/>
          <w:b/>
          <w:color w:val="000000"/>
          <w:sz w:val="22"/>
        </w:rPr>
        <w:t>6. Conclusions and future work</w:t>
      </w:r>
    </w:p>
    <w:p w14:paraId="0D68E1E6">
      <w:pPr>
        <w:pStyle w:val="25"/>
        <w:keepLines w:val="0"/>
        <w:widowControl/>
        <w:spacing w:line="276" w:lineRule="auto" w:before="0" w:after="80"/>
        <w:jc w:val="both"/>
        <w:rPr>
          <w:rFonts w:ascii="Times New Roman" w:hAnsi="Times New Roman" w:eastAsia="Times New Roman" w:cs="Times New Roman"/>
          <w:b w:val="0"/>
          <w:i w:val="0"/>
          <w:color w:val="000000"/>
          <w:sz w:val="20"/>
          <w:szCs w:val="24"/>
          <w:lang w:val="en-US" w:eastAsia="zh-CN" w:bidi="ar-SA"/>
        </w:rPr>
      </w:pPr>
      <w:r>
        <w:rPr>
          <w:rFonts w:ascii="Times New Roman" w:hAnsi="Times New Roman" w:eastAsia="Times New Roman" w:cs="Times New Roman"/>
          <w:b w:val="0"/>
          <w:i w:val="0"/>
          <w:color w:val="000000"/>
          <w:sz w:val="20"/>
          <w:szCs w:val="24"/>
          <w:lang w:val="en-US" w:eastAsia="zh-CN" w:bidi="ar-SA"/>
        </w:rPr>
        <w:t>We presented a drift-aware and deployment-oriented evaluation framework for fish MOT and counting that emphasizes robustness–cost analysis, failure transparency, and deployment guidance. The framework combines fair baseline comparison, controlled degradation, stratified diagnostics, count stability analysis, and runtime profiling within one reproducible pipeline.</w:t>
      </w:r>
    </w:p>
    <w:p w14:paraId="1989B56E">
      <w:pPr>
        <w:pStyle w:val="3"/>
        <w:keepLines w:val="0"/>
        <w:widowControl/>
        <w:spacing w:line="276" w:lineRule="auto" w:before="0" w:after="80"/>
        <w:jc w:val="both"/>
      </w:pPr>
      <w:r>
        <w:rPr>
          <w:rFonts w:ascii="Times New Roman" w:hAnsi="Times New Roman" w:eastAsia="Times New Roman" w:cs="Times New Roman"/>
          <w:color w:val="000000"/>
          <w:sz w:val="20"/>
        </w:rPr>
        <w:t>Future work for the smart-aquaculture PhD direction includes: (i) multi-sensor fusion with environmental signals (e.g., dissolved oxygen and water temperature), (ii) anomaly behavior recognition with trajectory-context coupling, (iii) cross-pond/domain generalization, and (iv) online updating/calibration strategies under long-term deployment drift.</w:t>
      </w:r>
    </w:p>
    <w:bookmarkEnd w:id="53"/>
    <w:p w14:paraId="5ABD52FF">
      <w:pPr>
        <w:pStyle w:val="2"/>
        <w:keepNext/>
        <w:keepLines w:val="0"/>
        <w:widowControl/>
        <w:jc w:val="left"/>
      </w:pPr>
      <w:bookmarkStart w:id="54" w:name="Xb006d51a3e2d9f5b52ef95aae1203ae0612fe90"/>
      <w:r>
        <w:rPr>
          <w:rFonts w:ascii="Times New Roman" w:hAnsi="Times New Roman" w:eastAsia="Times New Roman" w:cs="Times New Roman"/>
          <w:b/>
          <w:color w:val="000000"/>
          <w:sz w:val="22"/>
        </w:rPr>
        <w:t>7. Data availability and reproducibility statement</w:t>
      </w:r>
    </w:p>
    <w:p w14:paraId="4DF02D47">
      <w:pPr>
        <w:pStyle w:val="3"/>
        <w:keepLines w:val="0"/>
        <w:widowControl/>
        <w:spacing w:line="276" w:lineRule="auto" w:before="0" w:after="80"/>
        <w:jc w:val="both"/>
        <w:rPr>
          <w:rFonts w:ascii="Times New Roman" w:hAnsi="Times New Roman"/>
          <w:b w:val="0"/>
          <w:i w:val="0"/>
          <w:sz w:val="20"/>
        </w:rPr>
      </w:pPr>
      <w:r>
        <w:rPr>
          <w:rFonts w:ascii="Times New Roman" w:hAnsi="Times New Roman" w:eastAsia="Times New Roman" w:cs="Times New Roman"/>
          <w:b w:val="0"/>
          <w:i w:val="0"/>
          <w:color w:val="000000"/>
          <w:sz w:val="20"/>
        </w:rPr>
        <w:t>Code availability. Source code and experiment scripts are available to editors and reviewers through an anonymized release package. A public repository URL and archival DOI will be provided after acceptance.</w:t>
      </w:r>
    </w:p>
    <w:p w14:paraId="62662AF7">
      <w:pPr>
        <w:pStyle w:val="3"/>
        <w:keepLines w:val="0"/>
        <w:widowControl/>
        <w:spacing w:line="276" w:lineRule="auto" w:before="0" w:after="80"/>
        <w:jc w:val="both"/>
        <w:rPr>
          <w:rFonts w:ascii="宋体" w:hAnsi="宋体" w:eastAsia="宋体" w:cs="宋体"/>
          <w:sz w:val="24"/>
          <w:szCs w:val="24"/>
        </w:rPr>
      </w:pPr>
      <w:r>
        <w:rPr>
          <w:rFonts w:ascii="Times New Roman" w:hAnsi="Times New Roman" w:eastAsia="Times New Roman" w:cs="Times New Roman"/>
          <w:b w:val="0"/>
          <w:i w:val="0"/>
          <w:color w:val="000000"/>
          <w:sz w:val="20"/>
        </w:rPr>
        <w:t>Data availability. Raw farm videos may be subject to licensing and operational restrictions. When redistribution is limited, we provide derived benchmark artifacts, including predictions, per-sequence metrics, aggregated tables, and figure assets, required to reproduce the reported results. The final data-access statement and repository identifier will be provided in accordance with the applicable license constraints</w:t>
      </w:r>
      <w:r>
        <w:rPr>
          <w:rFonts w:ascii="Times New Roman" w:hAnsi="Times New Roman" w:eastAsia="Times New Roman" w:cs="Times New Roman"/>
          <w:color w:val="000000"/>
          <w:sz w:val="24"/>
          <w:szCs w:val="24"/>
        </w:rPr>
        <w:t>.</w:t>
      </w:r>
    </w:p>
    <w:p w14:paraId="14A7125F">
      <w:pPr>
        <w:pStyle w:val="3"/>
        <w:keepLines w:val="0"/>
        <w:widowControl/>
        <w:spacing w:line="276" w:lineRule="auto" w:before="0" w:after="80"/>
        <w:jc w:val="both"/>
        <w:rPr>
          <w:rFonts w:ascii="Times New Roman" w:hAnsi="Times New Roman"/>
          <w:b w:val="0"/>
          <w:i w:val="0"/>
          <w:sz w:val="20"/>
        </w:rPr>
      </w:pPr>
      <w:r>
        <w:rPr>
          <w:rFonts w:ascii="Times New Roman" w:hAnsi="Times New Roman" w:eastAsia="Times New Roman" w:cs="Times New Roman"/>
          <w:b w:val="0"/>
          <w:i w:val="0"/>
          <w:color w:val="000000"/>
          <w:sz w:val="20"/>
        </w:rPr>
        <w:t>Reproducibility package. The package includes a locked run configuration, provenance metadata, cryptographic hash records, and a one-click reproduction script. This package is intended to support independent regeneration of the reported results without manual path reconstruction.</w:t>
      </w:r>
    </w:p>
    <w:bookmarkEnd w:id="54"/>
    <w:p w14:paraId="590CB581">
      <w:pPr>
        <w:pStyle w:val="2"/>
        <w:keepNext/>
        <w:keepLines w:val="0"/>
        <w:widowControl/>
        <w:jc w:val="left"/>
        <w:rPr>
          <w:rFonts w:ascii="Times New Roman" w:hAnsi="Times New Roman"/>
          <w:i w:val="0"/>
        </w:rPr>
      </w:pPr>
      <w:bookmarkStart w:id="55" w:name="appendix-a.-release-package"/>
      <w:r>
        <w:rPr>
          <w:rFonts w:ascii="Times New Roman" w:hAnsi="Times New Roman" w:eastAsia="Times New Roman" w:cs="Times New Roman"/>
          <w:i w:val="0"/>
          <w:color w:val="000000"/>
        </w:rPr>
        <w:t>Appendix A. Reviewer release package</w:t>
      </w:r>
    </w:p>
    <w:p w14:paraId="2DC6AE6B">
      <w:pPr>
        <w:pStyle w:val="2"/>
        <w:keepNext/>
        <w:keepLines w:val="0"/>
        <w:widowControl/>
        <w:jc w:val="left"/>
        <w:rPr>
          <w:rFonts w:ascii="Times New Roman" w:hAnsi="Times New Roman"/>
          <w:b w:val="0"/>
          <w:i w:val="0"/>
          <w:sz w:val="20"/>
        </w:rPr>
      </w:pPr>
      <w:r>
        <w:rPr>
          <w:rFonts w:ascii="Times New Roman" w:hAnsi="Times New Roman" w:eastAsia="Times New Roman" w:cs="Times New Roman"/>
          <w:b w:val="0"/>
          <w:i w:val="0"/>
          <w:color w:val="000000"/>
          <w:sz w:val="20"/>
        </w:rPr>
        <w:t>For editorial and reviewer access, the reproducibility package is shared through anonymized links during double-blind review.</w:t>
      </w:r>
    </w:p>
    <w:p w14:paraId="2977435C">
      <w:pPr>
        <w:keepLines w:val="0"/>
        <w:widowControl/>
        <w:numPr>
          <w:ilvl w:val="0"/>
          <w:numId w:val="2"/>
        </w:numPr>
        <w:spacing w:line="276" w:lineRule="auto" w:before="0" w:after="80"/>
        <w:jc w:val="both"/>
        <w:rPr>
          <w:rFonts w:ascii="Times New Roman" w:hAnsi="Times New Roman" w:eastAsiaTheme="majorEastAsia" w:cstheme="majorBidi"/>
          <w:b w:val="0"/>
          <w:i w:val="0"/>
          <w:color w:val="000000"/>
          <w:sz w:val="20"/>
          <w:szCs w:val="40"/>
          <w:lang w:val="en-US" w:eastAsia="zh-CN" w:bidi="ar-SA"/>
        </w:rPr>
      </w:pPr>
      <w:r>
        <w:rPr>
          <w:rFonts w:ascii="Times New Roman" w:hAnsi="Times New Roman" w:eastAsiaTheme="majorEastAsia" w:cstheme="majorBidi" w:eastAsia="Times New Roman" w:cs="Times New Roman"/>
          <w:b w:val="0"/>
          <w:i w:val="0"/>
          <w:color w:val="000000"/>
          <w:sz w:val="20"/>
          <w:szCs w:val="40"/>
          <w:lang w:val="en-US" w:eastAsia="zh-CN" w:bidi="ar-SA"/>
        </w:rPr>
        <w:t>Reviewer access is provided through the submission system during double-blind review. Public archival identifiers, such as a DOI, will be added after acceptance in accordance with data and code policies.</w:t>
      </w:r>
    </w:p>
    <w:p w14:paraId="0404B021">
      <w:pPr>
        <w:pStyle w:val="25"/>
        <w:keepLines w:val="0"/>
        <w:widowControl/>
        <w:spacing w:line="276" w:lineRule="auto" w:before="0" w:after="80"/>
        <w:jc w:val="both"/>
      </w:pPr>
      <w:r>
        <w:rPr>
          <w:rFonts w:ascii="Times New Roman" w:hAnsi="Times New Roman" w:eastAsia="Times New Roman" w:cs="Times New Roman"/>
          <w:color w:val="000000"/>
          <w:sz w:val="20"/>
        </w:rPr>
        <w:t>The release package contains run configuration, manifest and hash records, aggregated tables, paper assets, and one-click reproduction scripts.</w:t>
      </w:r>
    </w:p>
    <w:bookmarkEnd w:id="55"/>
    <w:p w14:paraId="47571734">
      <w:pPr>
        <w:pStyle w:val="2"/>
        <w:keepNext/>
        <w:keepLines w:val="0"/>
        <w:widowControl/>
        <w:jc w:val="left"/>
      </w:pPr>
      <w:bookmarkStart w:id="56" w:name="funding"/>
      <w:r>
        <w:rPr>
          <w:rFonts w:ascii="Times New Roman" w:hAnsi="Times New Roman" w:eastAsia="Times New Roman" w:cs="Times New Roman"/>
          <w:color w:val="000000"/>
        </w:rPr>
        <w:t>Funding</w:t>
      </w:r>
    </w:p>
    <w:p w14:paraId="42F5C58E">
      <w:pPr>
        <w:pStyle w:val="25"/>
        <w:keepLines w:val="0"/>
        <w:widowControl/>
        <w:spacing w:line="276" w:lineRule="auto" w:before="0" w:after="80"/>
        <w:jc w:val="both"/>
      </w:pPr>
      <w:r>
        <w:rPr>
          <w:rFonts w:ascii="Times New Roman" w:hAnsi="Times New Roman" w:eastAsia="Times New Roman" w:cs="Times New Roman"/>
          <w:color w:val="000000"/>
          <w:sz w:val="20"/>
        </w:rPr>
        <w:t>This research did not receive any specific grant from funding agencies in the public, commercial, or not-for-profit sectors.</w:t>
      </w:r>
    </w:p>
    <w:bookmarkEnd w:id="56"/>
    <w:p w14:paraId="33C6B61E">
      <w:pPr>
        <w:pStyle w:val="2"/>
        <w:keepNext/>
        <w:keepLines w:val="0"/>
        <w:widowControl/>
        <w:jc w:val="left"/>
      </w:pPr>
      <w:bookmarkStart w:id="57" w:name="author-contributions-credit"/>
      <w:r>
        <w:rPr>
          <w:rFonts w:ascii="Times New Roman" w:hAnsi="Times New Roman" w:eastAsia="Times New Roman" w:cs="Times New Roman"/>
          <w:color w:val="000000"/>
        </w:rPr>
        <w:t>Author contributions (CRediT)</w:t>
      </w:r>
    </w:p>
    <w:p w14:paraId="0878A7A9">
      <w:pPr>
        <w:keepLines w:val="0"/>
        <w:widowControl/>
        <w:spacing w:line="276" w:lineRule="auto" w:before="0" w:after="80"/>
        <w:jc w:val="both"/>
      </w:pPr>
      <w:r>
        <w:rPr>
          <w:rFonts w:ascii="Times New Roman" w:hAnsi="Times New Roman" w:eastAsia="Times New Roman" w:cs="Times New Roman"/>
          <w:color w:val="000000"/>
        </w:rPr>
        <w:t>Conceptualization, Methodology, Software, Validation, Formal analysis, Investigation, Data curation, Writing – original draft, Writing – review &amp; editing, Visualization: author team. Supervision, Project administration, Resources: author team. All authors read and approved the final manuscript.</w:t>
      </w:r>
    </w:p>
    <w:bookmarkEnd w:id="57"/>
    <w:p w14:paraId="5161B78B">
      <w:pPr>
        <w:pStyle w:val="2"/>
        <w:keepNext/>
        <w:keepLines w:val="0"/>
        <w:widowControl/>
        <w:jc w:val="left"/>
      </w:pPr>
      <w:bookmarkStart w:id="58" w:name="competing-interests"/>
      <w:r>
        <w:rPr>
          <w:rFonts w:ascii="Times New Roman" w:hAnsi="Times New Roman" w:eastAsia="Times New Roman" w:cs="Times New Roman"/>
          <w:color w:val="000000"/>
        </w:rPr>
        <w:t>Competing interests</w:t>
      </w:r>
    </w:p>
    <w:p w14:paraId="5DD125A5">
      <w:pPr>
        <w:pStyle w:val="25"/>
        <w:keepLines w:val="0"/>
        <w:widowControl/>
        <w:spacing w:line="276" w:lineRule="auto" w:before="0" w:after="80"/>
        <w:jc w:val="both"/>
      </w:pPr>
      <w:r>
        <w:rPr>
          <w:rFonts w:ascii="Times New Roman" w:hAnsi="Times New Roman" w:eastAsia="Times New Roman" w:cs="Times New Roman"/>
          <w:color w:val="000000"/>
          <w:sz w:val="20"/>
        </w:rPr>
        <w:t>The authors declare no competing interests.</w:t>
      </w:r>
    </w:p>
    <w:bookmarkEnd w:id="58"/>
    <w:p w14:paraId="171CB77C">
      <w:pPr>
        <w:pStyle w:val="2"/>
        <w:keepNext/>
        <w:keepLines w:val="0"/>
        <w:widowControl/>
        <w:jc w:val="left"/>
      </w:pPr>
      <w:bookmarkStart w:id="59" w:name="X1f74eb43af444059c7518034463b6c89b1cacf4"/>
      <w:r>
        <w:rPr>
          <w:rFonts w:ascii="Times New Roman" w:hAnsi="Times New Roman" w:eastAsia="Times New Roman" w:cs="Times New Roman"/>
          <w:color w:val="000000"/>
        </w:rPr>
        <w:t>Declaration of Generative AI and AI-assisted technologies in the manuscript preparation process</w:t>
      </w:r>
    </w:p>
    <w:p w14:paraId="3EFD00E7">
      <w:pPr>
        <w:pStyle w:val="25"/>
        <w:keepLines w:val="0"/>
        <w:widowControl/>
        <w:spacing w:line="276" w:lineRule="auto" w:before="0" w:after="80"/>
        <w:jc w:val="both"/>
      </w:pPr>
      <w:r>
        <w:rPr>
          <w:rFonts w:ascii="Times New Roman" w:hAnsi="Times New Roman" w:eastAsia="Times New Roman" w:cs="Times New Roman"/>
          <w:color w:val="000000"/>
          <w:sz w:val="20"/>
        </w:rPr>
        <w:t>During the preparation of this work, the authors used OpenAI Codex/GPT-based tools to improve language clarity, section organization, and editorial consistency. All scientific content, experiment execution, numerical verification, and final editing decisions were manually performed and validated by the authors, who take full responsibility for the manuscript. No generative AI tools were used to create or modify figures, graphical abstracts, or other artwork in this manuscript.</w:t>
      </w:r>
    </w:p>
    <w:p w14:paraId="59606170">
      <w:pPr>
        <w:pStyle w:val="3"/>
        <w:keepLines w:val="0"/>
        <w:widowControl/>
        <w:spacing w:line="276" w:lineRule="auto" w:before="0" w:after="80"/>
        <w:jc w:val="both"/>
      </w:pPr>
      <w:bookmarkStart w:id="60" w:name="ref-botsort2022"/>
      <w:bookmarkStart w:id="61" w:name="refs"/>
    </w:p>
    <w:p w14:paraId="00BBFF7C">
      <w:pPr>
        <w:pStyle w:val="2"/>
        <w:keepNext/>
        <w:keepLines w:val="0"/>
        <w:widowControl/>
        <w:jc w:val="left"/>
      </w:pPr>
      <w:r>
        <w:rPr>
          <w:rFonts w:ascii="Times New Roman" w:hAnsi="Times New Roman" w:eastAsia="Times New Roman" w:cs="Times New Roman"/>
          <w:color w:val="000000"/>
        </w:rPr>
        <w:t>References</w:t>
      </w:r>
    </w:p>
    <w:p w14:paraId="7CC50FA9">
      <w:pPr>
        <w:pStyle w:val="32"/>
        <w:keepLines w:val="0"/>
        <w:widowControl/>
        <w:spacing w:before="0" w:after="80" w:line="276" w:lineRule="auto"/>
        <w:ind w:left="360" w:hanging="360"/>
        <w:jc w:val="both"/>
      </w:pPr>
      <w:r>
        <w:rPr>
          <w:rFonts w:ascii="Times New Roman" w:hAnsi="Times New Roman" w:eastAsia="Times New Roman" w:cs="Times New Roman"/>
          <w:color w:val="000000"/>
          <w:sz w:val="20"/>
        </w:rPr>
        <w:t>Aharon, Nir, Roy Orfaig, and Ben-Zion Bobrovsky. 2022. BoT-SORT: Robust Associations Multi-Pedestrian Tracking. https://arxiv.org/abs/2206.14651.</w:t>
      </w:r>
    </w:p>
    <w:bookmarkEnd w:id="60"/>
    <w:p w14:paraId="4CAF01E5">
      <w:pPr>
        <w:pStyle w:val="32"/>
        <w:keepLines w:val="0"/>
        <w:widowControl/>
        <w:spacing w:before="0" w:after="80" w:line="276" w:lineRule="auto"/>
        <w:ind w:left="360" w:hanging="360"/>
        <w:jc w:val="both"/>
      </w:pPr>
      <w:bookmarkStart w:id="62" w:name="ref-barbedo2022review"/>
      <w:r>
        <w:rPr>
          <w:rFonts w:ascii="Times New Roman" w:hAnsi="Times New Roman" w:eastAsia="Times New Roman" w:cs="Times New Roman"/>
          <w:color w:val="000000"/>
          <w:sz w:val="20"/>
        </w:rPr>
        <w:t>Barbedo, Jayme Garcia Arnal. 2022. A Review on Computer Vision-Based Recognition and Monitoring of Fish. Fishes 7 (6): 335. https://doi.org/10.3390/fishes7060335.</w:t>
      </w:r>
    </w:p>
    <w:bookmarkEnd w:id="62"/>
    <w:p w14:paraId="385488DB">
      <w:pPr>
        <w:pStyle w:val="32"/>
        <w:keepLines w:val="0"/>
        <w:widowControl/>
        <w:spacing w:before="0" w:after="80" w:line="276" w:lineRule="auto"/>
        <w:ind w:left="360" w:hanging="360"/>
        <w:jc w:val="both"/>
      </w:pPr>
      <w:bookmarkStart w:id="63" w:name="ref-sort2016"/>
      <w:r>
        <w:rPr>
          <w:rFonts w:ascii="Times New Roman" w:hAnsi="Times New Roman" w:eastAsia="Times New Roman" w:cs="Times New Roman"/>
          <w:color w:val="000000"/>
          <w:sz w:val="20"/>
        </w:rPr>
        <w:t>Bewley, Alex, Zongyuan Ge, Lionel Ott, Fabio Ramos, and Ben Upcroft. 2016. Simple Online and Realtime Tracking. IEEE International Conference on Image Processing Workshops.</w:t>
      </w:r>
    </w:p>
    <w:bookmarkEnd w:id="63"/>
    <w:p w14:paraId="08476289">
      <w:pPr>
        <w:pStyle w:val="32"/>
        <w:keepLines w:val="0"/>
        <w:widowControl/>
        <w:spacing w:before="0" w:after="80" w:line="276" w:lineRule="auto"/>
        <w:ind w:left="360" w:hanging="360"/>
        <w:jc w:val="both"/>
      </w:pPr>
      <w:bookmarkStart w:id="64" w:name="ref-ocsort2022"/>
      <w:r>
        <w:rPr>
          <w:rFonts w:ascii="Times New Roman" w:hAnsi="Times New Roman" w:eastAsia="Times New Roman" w:cs="Times New Roman"/>
          <w:color w:val="000000"/>
          <w:sz w:val="20"/>
        </w:rPr>
        <w:t>Cao, Jinkun, Xinshuo Weng, Rawal Khirodkar, Jiangmiao Pang, and Kris M. Kitani. 2022. OC-SORT: Observation-Centric SORT for Robust Multi-Object Tracking. https://arxiv.org/abs/2203.14360.</w:t>
      </w:r>
    </w:p>
    <w:bookmarkEnd w:id="64"/>
    <w:p w14:paraId="08550729">
      <w:pPr>
        <w:pStyle w:val="32"/>
        <w:keepLines w:val="0"/>
        <w:widowControl/>
        <w:spacing w:before="0" w:after="80" w:line="276" w:lineRule="auto"/>
        <w:ind w:left="360" w:hanging="360"/>
        <w:jc w:val="both"/>
      </w:pPr>
      <w:bookmarkStart w:id="65" w:name="ref-cui2025survey"/>
      <w:r>
        <w:rPr>
          <w:rFonts w:ascii="Times New Roman" w:hAnsi="Times New Roman" w:eastAsia="Times New Roman" w:cs="Times New Roman"/>
          <w:color w:val="000000"/>
          <w:sz w:val="20"/>
        </w:rPr>
        <w:t>Cui, Tianfei, Jian Wang, Min Shen, et al. 2025. A Comprehensive Survey of Artificial Intelligence in Fish Farming. Reviews in Aquaculture 17 (1): e13001. https://doi.org/10.1111/raq.13001.</w:t>
      </w:r>
    </w:p>
    <w:bookmarkEnd w:id="65"/>
    <w:p w14:paraId="20F4C8DD">
      <w:pPr>
        <w:pStyle w:val="32"/>
        <w:keepLines w:val="0"/>
        <w:widowControl/>
        <w:spacing w:before="0" w:after="80" w:line="276" w:lineRule="auto"/>
        <w:ind w:left="360" w:hanging="360"/>
        <w:jc w:val="both"/>
      </w:pPr>
      <w:bookmarkStart w:id="66" w:name="ref-fore2018"/>
      <w:r>
        <w:rPr>
          <w:rFonts w:ascii="Times New Roman" w:hAnsi="Times New Roman" w:eastAsia="Times New Roman" w:cs="Times New Roman"/>
          <w:color w:val="000000"/>
          <w:sz w:val="20"/>
        </w:rPr>
        <w:t>Føre, Martin, Kevin Frank, Tomas Norton, et al. 2018. Precision Fish Farming: A New Framework to Improve Production in Aquaculture. Biosystems Engineering 173: 176–93. https://doi.org/10.1016/j.biosystemseng.2017.10.014.</w:t>
      </w:r>
    </w:p>
    <w:bookmarkEnd w:id="66"/>
    <w:p w14:paraId="29B8A627">
      <w:pPr>
        <w:pStyle w:val="32"/>
        <w:keepLines w:val="0"/>
        <w:widowControl/>
        <w:spacing w:before="0" w:after="80" w:line="276" w:lineRule="auto"/>
        <w:ind w:left="360" w:hanging="360"/>
        <w:jc w:val="both"/>
      </w:pPr>
      <w:bookmarkStart w:id="67" w:name="ref-albuquerque2019fingerlings"/>
      <w:r>
        <w:rPr>
          <w:rFonts w:ascii="Times New Roman" w:hAnsi="Times New Roman" w:eastAsia="Times New Roman" w:cs="Times New Roman"/>
          <w:color w:val="000000"/>
          <w:sz w:val="20"/>
        </w:rPr>
        <w:t>Franca Albuquerque, Caroline, Rafael Minho, Taiana de Almeida Nunes, et al. 2019. Automatic Live Fingerlings Counting Using Computer Vision. Computers and Electronics in Agriculture 167: 105015. https://doi.org/10.1016/j.compag.2019.105015.</w:t>
      </w:r>
    </w:p>
    <w:bookmarkEnd w:id="67"/>
    <w:p w14:paraId="6E3D20DC">
      <w:pPr>
        <w:pStyle w:val="32"/>
        <w:keepLines w:val="0"/>
        <w:widowControl/>
        <w:spacing w:before="0" w:after="80" w:line="276" w:lineRule="auto"/>
        <w:ind w:left="360" w:hanging="360"/>
        <w:jc w:val="both"/>
      </w:pPr>
      <w:bookmarkStart w:id="68" w:name="ref-hernandez2018counter"/>
      <w:r>
        <w:rPr>
          <w:rFonts w:ascii="Times New Roman" w:hAnsi="Times New Roman" w:eastAsia="Times New Roman" w:cs="Times New Roman"/>
          <w:color w:val="000000"/>
          <w:sz w:val="20"/>
        </w:rPr>
        <w:t>Hernandez-Ontiveros, Juan Miguel, Everardo Inzunza-Gonzalez, Eduardo E. Garcia-Guerrero, et al. 2018. Development and Implementation of a Fish Counter by Using an Embedded System. Computers and Electronics in Agriculture 145: 53–62. https://doi.org/10.1016/j.compag.2017.12.023.</w:t>
      </w:r>
    </w:p>
    <w:bookmarkEnd w:id="68"/>
    <w:p w14:paraId="44EEDFFB">
      <w:pPr>
        <w:pStyle w:val="32"/>
        <w:keepLines w:val="0"/>
        <w:widowControl/>
        <w:spacing w:before="0" w:after="80" w:line="276" w:lineRule="auto"/>
        <w:ind w:left="360" w:hanging="360"/>
        <w:jc w:val="both"/>
      </w:pPr>
      <w:bookmarkStart w:id="69" w:name="ref-li2020biomass"/>
      <w:r>
        <w:rPr>
          <w:rFonts w:ascii="Times New Roman" w:hAnsi="Times New Roman" w:eastAsia="Times New Roman" w:cs="Times New Roman"/>
          <w:color w:val="000000"/>
          <w:sz w:val="20"/>
        </w:rPr>
        <w:t>Li, Daoliang, Yinfeng Hao, and Yanqing Duan. 2020. Nonintrusive Methods for Biomass Estimation in Aquaculture with Emphasis on Fish: A Review. Reviews in Aquaculture 12 (3): 1390–411. https://doi.org/10.1111/raq.12388.</w:t>
      </w:r>
    </w:p>
    <w:bookmarkEnd w:id="69"/>
    <w:p w14:paraId="34572FEF">
      <w:pPr>
        <w:pStyle w:val="32"/>
        <w:keepLines w:val="0"/>
        <w:widowControl/>
        <w:spacing w:before="0" w:after="80" w:line="276" w:lineRule="auto"/>
        <w:ind w:left="360" w:hanging="360"/>
        <w:jc w:val="both"/>
      </w:pPr>
      <w:bookmarkStart w:id="70" w:name="ref-trackeval2020"/>
      <w:r>
        <w:rPr>
          <w:rFonts w:ascii="Times New Roman" w:hAnsi="Times New Roman" w:eastAsia="Times New Roman" w:cs="Times New Roman"/>
          <w:color w:val="000000"/>
          <w:sz w:val="20"/>
        </w:rPr>
        <w:t>Luiten, Jonathon, Aljosa Osep, Patrick Dendorfer, Andreas Geiger, Laura Leal-Taixe, et al. 2020. TrackEval: A Unified Framework for Multi-Object Tracking Evaluation. https://arxiv.org/abs/2011.04605.</w:t>
      </w:r>
    </w:p>
    <w:bookmarkEnd w:id="70"/>
    <w:p w14:paraId="64F879D6">
      <w:pPr>
        <w:pStyle w:val="32"/>
        <w:keepLines w:val="0"/>
        <w:widowControl/>
        <w:spacing w:before="0" w:after="80" w:line="276" w:lineRule="auto"/>
        <w:ind w:left="360" w:hanging="360"/>
        <w:jc w:val="both"/>
      </w:pPr>
      <w:bookmarkStart w:id="71" w:name="ref-hota2020"/>
      <w:r>
        <w:rPr>
          <w:rFonts w:ascii="Times New Roman" w:hAnsi="Times New Roman" w:eastAsia="Times New Roman" w:cs="Times New Roman"/>
          <w:color w:val="000000"/>
          <w:sz w:val="20"/>
        </w:rPr>
        <w:t>Luiten, Jonathon, Aljosa Osep, Patrick Dendorfer, Andreas Geiger, Laura Leal-Taixe, et al. 2021. Higher Order Tracking Accuracy: A New Metric for Multi-Object Tracking. International Journal of Computer Vision 129 (2): 548–78.</w:t>
      </w:r>
    </w:p>
    <w:bookmarkEnd w:id="71"/>
    <w:p w14:paraId="762601D3">
      <w:pPr>
        <w:pStyle w:val="32"/>
        <w:keepLines w:val="0"/>
        <w:widowControl/>
        <w:spacing w:before="0" w:after="80" w:line="276" w:lineRule="auto"/>
        <w:ind w:left="360" w:hanging="360"/>
        <w:jc w:val="both"/>
      </w:pPr>
      <w:bookmarkStart w:id="72" w:name="ref-mei2022trackingreview"/>
      <w:r>
        <w:rPr>
          <w:rFonts w:ascii="Times New Roman" w:hAnsi="Times New Roman" w:eastAsia="Times New Roman" w:cs="Times New Roman"/>
          <w:color w:val="000000"/>
          <w:sz w:val="20"/>
        </w:rPr>
        <w:t>Mei, Jing, Jian Wang, Daoliang Li, et al. 2022. Recent Advances of Target Tracking Applications in Aquaculture with Emphasis on Fish. Computers and Electronics in Agriculture 201: 107335. https://doi.org/10.1016/j.compag.2022.107335.</w:t>
      </w:r>
    </w:p>
    <w:bookmarkEnd w:id="72"/>
    <w:p w14:paraId="06CEF5C2">
      <w:pPr>
        <w:pStyle w:val="32"/>
        <w:keepLines w:val="0"/>
        <w:widowControl/>
        <w:spacing w:before="0" w:after="80" w:line="276" w:lineRule="auto"/>
        <w:ind w:left="360" w:hanging="360"/>
        <w:jc w:val="both"/>
      </w:pPr>
      <w:bookmarkStart w:id="73" w:name="ref-wang2022abnormal"/>
      <w:r>
        <w:rPr>
          <w:rFonts w:ascii="Times New Roman" w:hAnsi="Times New Roman" w:eastAsia="Times New Roman" w:cs="Times New Roman"/>
          <w:color w:val="000000"/>
          <w:sz w:val="20"/>
        </w:rPr>
        <w:t>Wang, He, Song Zhang, Shili Zhao, Qi Wang, Daoliang Li, and Ran Zhao. 2022. Real-Time Detection and Tracking of Fish Abnormal Behavior Based on Improved YOLOV5 and SiamRPN++. Computers and Electronics in Agriculture 192: 106512. https://doi.org/10.1016/j.compag.2021.106512.</w:t>
      </w:r>
    </w:p>
    <w:bookmarkEnd w:id="73"/>
    <w:p w14:paraId="17806B3E">
      <w:pPr>
        <w:pStyle w:val="32"/>
        <w:keepLines w:val="0"/>
        <w:widowControl/>
        <w:spacing w:before="0" w:after="80" w:line="276" w:lineRule="auto"/>
        <w:ind w:left="360" w:hanging="360"/>
        <w:jc w:val="both"/>
      </w:pPr>
      <w:bookmarkStart w:id="74" w:name="ref-deepsort2017"/>
      <w:r>
        <w:rPr>
          <w:rFonts w:ascii="Times New Roman" w:hAnsi="Times New Roman" w:eastAsia="Times New Roman" w:cs="Times New Roman"/>
          <w:color w:val="000000"/>
          <w:sz w:val="20"/>
        </w:rPr>
        <w:t>Wojke, Nicolai, Alex Bewley, and Dietrich Paulus. 2017. Simple Online and Realtime Tracking with a Deep Association Metric. IEEE International Conference on Image Processing.</w:t>
      </w:r>
    </w:p>
    <w:bookmarkEnd w:id="74"/>
    <w:p w14:paraId="0E534A0E">
      <w:pPr>
        <w:pStyle w:val="32"/>
        <w:keepLines w:val="0"/>
        <w:widowControl/>
        <w:spacing w:before="0" w:after="80" w:line="276" w:lineRule="auto"/>
        <w:ind w:left="360" w:hanging="360"/>
        <w:jc w:val="both"/>
      </w:pPr>
      <w:bookmarkStart w:id="75" w:name="ref-bytetrack2022"/>
      <w:r>
        <w:rPr>
          <w:rFonts w:ascii="Times New Roman" w:hAnsi="Times New Roman" w:eastAsia="Times New Roman" w:cs="Times New Roman"/>
          <w:color w:val="000000"/>
          <w:sz w:val="20"/>
        </w:rPr>
        <w:t>Zhang, Yifu, Peize Sun, Yi Jiang, et al. 2022. ByteTrack: Multi-Object Tracking by Associating Every Detection Box. European Conference on Computer Vision.</w:t>
      </w:r>
    </w:p>
    <w:bookmarkEnd w:id="75"/>
    <w:p w14:paraId="506A70D5">
      <w:pPr>
        <w:pStyle w:val="32"/>
        <w:keepLines w:val="0"/>
        <w:widowControl/>
        <w:spacing w:before="0" w:after="80" w:line="276" w:lineRule="auto"/>
        <w:ind w:left="360" w:hanging="360"/>
        <w:jc w:val="both"/>
      </w:pPr>
      <w:bookmarkStart w:id="76" w:name="ref-zhang2020fishcount"/>
      <w:r>
        <w:rPr>
          <w:rFonts w:ascii="Times New Roman" w:hAnsi="Times New Roman" w:eastAsia="Times New Roman" w:cs="Times New Roman"/>
          <w:color w:val="000000"/>
          <w:sz w:val="20"/>
        </w:rPr>
        <w:t>Zhang, Zhaofeng, Yulong Zhang, Li Chen, Jian Tang, and Lucheng Cheng. 2020. Automatic Fish Population Counting by Machine Vision and a Hybrid Deep Neural Network Model. Animals 10 (2): 364. https://doi.org/10.3390/ani10020364.</w:t>
      </w:r>
    </w:p>
    <w:bookmarkEnd w:id="76"/>
    <w:p w14:paraId="5A3A7F91">
      <w:pPr>
        <w:pStyle w:val="32"/>
        <w:keepLines w:val="0"/>
        <w:widowControl/>
        <w:spacing w:before="0" w:after="80" w:line="276" w:lineRule="auto"/>
        <w:ind w:left="360" w:hanging="360"/>
        <w:jc w:val="both"/>
      </w:pPr>
      <w:bookmarkStart w:id="77" w:name="ref-zhao2024stereo"/>
      <w:r>
        <w:rPr>
          <w:rFonts w:ascii="Times New Roman" w:hAnsi="Times New Roman" w:eastAsia="Times New Roman" w:cs="Times New Roman"/>
          <w:color w:val="000000"/>
          <w:sz w:val="20"/>
        </w:rPr>
        <w:t>Zhao, Yaxuan, Hanxiang Qin, Ling Xu, Huihui Yu, and Yingyi Chen. 2025. A Review of Deep Learning-Based Stereo Vision Techniques for Phenotype Feature and Behavioral Analysis of Fish in Aquaculture. Artificial Intelligence Review 58. https://doi.org/10.1007/s10462-024-10960-7.</w:t>
      </w:r>
    </w:p>
    <w:bookmarkEnd w:id="77"/>
    <w:p w14:paraId="4BB2A317">
      <w:pPr>
        <w:pStyle w:val="32"/>
        <w:keepLines w:val="0"/>
        <w:widowControl/>
        <w:spacing w:before="0" w:after="80" w:line="276" w:lineRule="auto"/>
        <w:ind w:left="360" w:hanging="360"/>
        <w:jc w:val="both"/>
      </w:pPr>
      <w:bookmarkStart w:id="78" w:name="ref-zhou2018feeding"/>
      <w:r>
        <w:rPr>
          <w:rFonts w:ascii="Times New Roman" w:hAnsi="Times New Roman" w:eastAsia="Times New Roman" w:cs="Times New Roman"/>
          <w:color w:val="000000"/>
          <w:sz w:val="20"/>
        </w:rPr>
        <w:t>Zhou, Chao, Daming Xu, Kai Lin, Chuanheng Sun, and Xinting Yang. 2018. Intelligent Feeding Control Methods in Aquaculture with an Emphasis on Fish: A Review. Reviews in Aquaculture 10 (4): 975–93. https://doi.org/10.1111/raq.12218.</w:t>
      </w:r>
    </w:p>
    <w:bookmarkEnd w:id="78"/>
    <w:p w14:paraId="13B1EF53">
      <w:pPr>
        <w:pStyle w:val="32"/>
        <w:keepLines w:val="0"/>
        <w:widowControl/>
        <w:spacing w:before="0" w:after="80" w:line="276" w:lineRule="auto"/>
        <w:ind w:left="360" w:hanging="360"/>
        <w:jc w:val="both"/>
      </w:pPr>
      <w:bookmarkStart w:id="79" w:name="ref-zion2012"/>
      <w:r>
        <w:rPr>
          <w:rFonts w:ascii="Times New Roman" w:hAnsi="Times New Roman" w:eastAsia="Times New Roman" w:cs="Times New Roman"/>
          <w:color w:val="000000"/>
          <w:sz w:val="20"/>
        </w:rPr>
        <w:t>Zion, Boaz. 2012. The Use of Computer Vision Technologies in Aquaculture—a Review. Computers and Electronics in Agriculture 88: 125–32. https://doi.org/10.1016/j.compag.2012.07.010.</w:t>
      </w:r>
    </w:p>
    <w:bookmarkEnd w:id="59"/>
    <w:bookmarkEnd w:id="61"/>
    <w:bookmarkEnd w:id="79"/>
    <w:sectPr>
      <w:footnotePr>
        <w:numRestart w:val="eachSect"/>
      </w:footnotePr>
      <w:pgSz w:w="11906" w:h="16838"/>
      <w:pgMar w:top="1247" w:right="1020" w:bottom="1247" w:left="1020"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804CE"/>
    <w:rsid w:val="07B62F76"/>
    <w:rsid w:val="0F43081F"/>
    <w:rsid w:val="192D6E10"/>
    <w:rsid w:val="1C9843B2"/>
    <w:rsid w:val="28AF15F0"/>
    <w:rsid w:val="333D3C9C"/>
    <w:rsid w:val="3EDB4A95"/>
    <w:rsid w:val="4A192915"/>
    <w:rsid w:val="50650662"/>
    <w:rsid w:val="52B4142D"/>
    <w:rsid w:val="565847C5"/>
    <w:rsid w:val="6DCA5B51"/>
    <w:rsid w:val="72D059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76" w:lineRule="auto"/>
      <w:ind w:firstLine="0"/>
      <w:jc w:val="both"/>
    </w:pPr>
    <w:rPr>
      <w:rFonts w:ascii="Times New Roman" w:hAnsi="Times New Roman" w:eastAsia="Times New Roman" w:cs="Times New Roman"/>
      <w:b w:val="0"/>
      <w:i w:val="0"/>
      <w:color w:val="000000"/>
      <w:sz w:val="20"/>
      <w:szCs w:val="24"/>
      <w:lang w:val="en-US" w:eastAsia="zh-CN" w:bidi="ar-SA"/>
    </w:rPr>
  </w:style>
  <w:style w:type="paragraph" w:styleId="2">
    <w:name w:val="heading 1"/>
    <w:basedOn w:val="1"/>
    <w:next w:val="3"/>
    <w:link w:val="33"/>
    <w:qFormat/>
    <w:uiPriority w:val="9"/>
    <w:pPr>
      <w:keepNext/>
      <w:keepLines/>
      <w:spacing w:before="200" w:after="60" w:line="264" w:lineRule="auto"/>
      <w:jc w:val="left"/>
      <w:outlineLvl w:val="0"/>
    </w:pPr>
    <w:rPr>
      <w:rFonts w:asciiTheme="majorHAnsi" w:hAnsiTheme="majorHAnsi" w:eastAsiaTheme="majorEastAsia" w:cstheme="majorBidi" w:ascii="Times New Roman" w:hAnsi="Times New Roman" w:eastAsia="Times New Roman" w:cs="Times New Roman"/>
      <w:b/>
      <w:i w:val="0"/>
      <w:color w:val="000000"/>
      <w:sz w:val="24"/>
      <w:szCs w:val="40"/>
    </w:rPr>
  </w:style>
  <w:style w:type="paragraph" w:styleId="4">
    <w:name w:val="heading 2"/>
    <w:basedOn w:val="1"/>
    <w:next w:val="3"/>
    <w:link w:val="34"/>
    <w:semiHidden/>
    <w:unhideWhenUsed/>
    <w:qFormat/>
    <w:uiPriority w:val="9"/>
    <w:pPr>
      <w:keepNext/>
      <w:keepLines/>
      <w:spacing w:before="160" w:after="60" w:line="264" w:lineRule="auto"/>
      <w:jc w:val="left"/>
      <w:outlineLvl w:val="1"/>
    </w:pPr>
    <w:rPr>
      <w:rFonts w:asciiTheme="majorHAnsi" w:hAnsiTheme="majorHAnsi" w:eastAsiaTheme="majorEastAsia" w:cstheme="majorBidi" w:ascii="Times New Roman" w:hAnsi="Times New Roman" w:eastAsia="Times New Roman" w:cs="Times New Roman"/>
      <w:b/>
      <w:i w:val="0"/>
      <w:color w:val="000000"/>
      <w:sz w:val="22"/>
      <w:szCs w:val="32"/>
    </w:rPr>
  </w:style>
  <w:style w:type="paragraph" w:styleId="5">
    <w:name w:val="heading 3"/>
    <w:basedOn w:val="1"/>
    <w:next w:val="3"/>
    <w:link w:val="35"/>
    <w:semiHidden/>
    <w:unhideWhenUsed/>
    <w:qFormat/>
    <w:uiPriority w:val="9"/>
    <w:pPr>
      <w:keepNext/>
      <w:keepLines/>
      <w:spacing w:before="100" w:after="60" w:line="264" w:lineRule="auto"/>
      <w:jc w:val="left"/>
      <w:outlineLvl w:val="2"/>
    </w:pPr>
    <w:rPr>
      <w:rFonts w:ascii="Times New Roman" w:hAnsi="Times New Roman" w:eastAsiaTheme="majorEastAsia" w:cstheme="majorBidi" w:eastAsia="Times New Roman" w:cs="Times New Roman"/>
      <w:b/>
      <w:i w:val="0"/>
      <w:color w:val="000000"/>
      <w:sz w:val="20"/>
      <w:szCs w:val="28"/>
    </w:rPr>
  </w:style>
  <w:style w:type="paragraph" w:styleId="6">
    <w:name w:val="heading 4"/>
    <w:basedOn w:val="1"/>
    <w:next w:val="3"/>
    <w:link w:val="36"/>
    <w:semiHidden/>
    <w:unhideWhenUsed/>
    <w:qFormat/>
    <w:uiPriority w:val="9"/>
    <w:pPr>
      <w:keepNext/>
      <w:keepLines/>
      <w:spacing w:before="100" w:after="60" w:line="264" w:lineRule="auto"/>
      <w:jc w:val="left"/>
      <w:outlineLvl w:val="3"/>
    </w:pPr>
    <w:rPr>
      <w:rFonts w:ascii="Times New Roman" w:hAnsi="Times New Roman" w:eastAsiaTheme="majorEastAsia" w:cstheme="majorBidi" w:eastAsia="Times New Roman" w:cs="Times New Roman"/>
      <w:b/>
      <w:i w:val="0"/>
      <w:iCs/>
      <w:color w:val="000000"/>
      <w:sz w:val="20"/>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0" w:after="80" w:line="276" w:lineRule="auto"/>
      <w:ind w:firstLine="0"/>
      <w:jc w:val="both"/>
    </w:pPr>
    <w:rPr>
      <w:rFonts w:ascii="Times New Roman" w:hAnsi="Times New Roman" w:eastAsia="Times New Roman" w:cs="Times New Roman"/>
      <w:b w:val="0"/>
      <w:i w:val="0"/>
      <w:color w:val="000000"/>
      <w:sz w:val="20"/>
    </w:rPr>
  </w:style>
  <w:style w:type="paragraph" w:styleId="12">
    <w:name w:val="caption"/>
    <w:basedOn w:val="1"/>
    <w:qFormat/>
    <w:uiPriority w:val="0"/>
    <w:pPr>
      <w:spacing w:before="0" w:after="120"/>
    </w:pPr>
    <w:rPr>
      <w:rFonts w:ascii="Times New Roman" w:hAnsi="Times New Roman" w:eastAsia="Times New Roman"/>
      <w:i/>
      <w:color w:val="000000"/>
      <w:sz w:val="18"/>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120" w:line="240" w:lineRule="auto"/>
      <w:contextualSpacing/>
      <w:jc w:val="left"/>
    </w:pPr>
    <w:rPr>
      <w:rFonts w:asciiTheme="majorHAnsi" w:hAnsiTheme="majorHAnsi" w:eastAsiaTheme="majorEastAsia" w:cstheme="majorBidi" w:ascii="Times New Roman" w:hAnsi="Times New Roman" w:eastAsia="Times New Roman" w:cs="Times New Roman"/>
      <w:b/>
      <w:i w:val="0"/>
      <w:color w:val="000000"/>
      <w:sz w:val="34"/>
      <w:szCs w:val="56"/>
    </w:rPr>
  </w:style>
  <w:style w:type="paragraph" w:styleId="16">
    <w:name w:val="Subtitle"/>
    <w:basedOn w:val="15"/>
    <w:next w:val="3"/>
    <w:link w:val="28"/>
    <w:qFormat/>
    <w:uiPriority w:val="11"/>
    <w:pPr>
      <w:spacing w:after="120" w:line="276" w:lineRule="auto"/>
      <w:ind w:firstLine="0"/>
      <w:jc w:val="both"/>
    </w:pPr>
    <w:rPr>
      <w:rFonts w:ascii="Times New Roman" w:hAnsi="Times New Roman" w:eastAsiaTheme="majorEastAsia" w:cstheme="majorBidi"/>
      <w:spacing w:val="15"/>
      <w:sz w:val="20"/>
      <w:szCs w:val="28"/>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Hyperlink"/>
    <w:basedOn w:val="22"/>
    <w:uiPriority w:val="0"/>
    <w:rPr>
      <w:color w:val="156082"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HTML Code"/>
    <w:basedOn w:val="20"/>
    <w:qFormat/>
    <w:uiPriority w:val="0"/>
    <w:rPr>
      <w:rFonts w:ascii="Courier New" w:hAnsi="Courier New"/>
      <w:sz w:val="20"/>
    </w:rPr>
  </w:style>
  <w:style w:type="character" w:styleId="24">
    <w:name w:val="footnote reference"/>
    <w:basedOn w:val="22"/>
    <w:uiPriority w:val="0"/>
    <w:rPr>
      <w:vertAlign w:val="superscript"/>
    </w:rPr>
  </w:style>
  <w:style w:type="paragraph" w:customStyle="1" w:styleId="25">
    <w:name w:val="First Paragraph"/>
    <w:basedOn w:val="3"/>
    <w:next w:val="3"/>
    <w:qFormat/>
    <w:uiPriority w:val="0"/>
    <w:pPr>
      <w:spacing w:before="0" w:after="80" w:line="276" w:lineRule="auto"/>
      <w:ind w:firstLine="0"/>
      <w:jc w:val="both"/>
    </w:pPr>
    <w:rPr>
      <w:rFonts w:ascii="Times New Roman" w:hAnsi="Times New Roman" w:eastAsia="Times New Roman" w:cs="Times New Roman"/>
      <w:b w:val="0"/>
      <w:i w:val="0"/>
      <w:color w:val="000000"/>
      <w:sz w:val="20"/>
    </w:rPr>
  </w:style>
  <w:style w:type="paragraph" w:customStyle="1" w:styleId="26">
    <w:name w:val="Compact"/>
    <w:basedOn w:val="3"/>
    <w:qFormat/>
    <w:uiPriority w:val="0"/>
    <w:pPr>
      <w:spacing w:before="36" w:after="36"/>
    </w:pPr>
  </w:style>
  <w:style w:type="character" w:customStyle="1" w:styleId="27">
    <w:name w:val="Title Char"/>
    <w:basedOn w:val="20"/>
    <w:link w:val="15"/>
    <w:uiPriority w:val="10"/>
    <w:rPr>
      <w:rFonts w:asciiTheme="majorHAnsi" w:hAnsiTheme="majorHAnsi" w:eastAsiaTheme="majorEastAsia" w:cstheme="majorBidi"/>
      <w:sz w:val="56"/>
      <w:szCs w:val="56"/>
    </w:rPr>
  </w:style>
  <w:style w:type="character" w:customStyle="1" w:styleId="28">
    <w:name w:val="Subtitle Char"/>
    <w:basedOn w:val="20"/>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5"/>
    <w:next w:val="3"/>
    <w:qFormat/>
    <w:uiPriority w:val="0"/>
    <w:pPr>
      <w:keepNext/>
      <w:keepLines/>
      <w:spacing w:after="160" w:line="240" w:lineRule="auto"/>
      <w:jc w:val="center"/>
    </w:pPr>
    <w:rPr>
      <w:rFonts w:ascii="Times New Roman" w:hAnsi="Times New Roman" w:eastAsia="Times New Roman" w:cs="Times New Roman"/>
      <w:b w:val="0"/>
      <w:i w:val="0"/>
      <w:color w:val="000000"/>
      <w:sz w:val="22"/>
      <w:szCs w:val="24"/>
    </w:rPr>
  </w:style>
  <w:style w:type="paragraph" w:customStyle="1" w:styleId="30">
    <w:name w:val="Abstract Title"/>
    <w:basedOn w:val="1"/>
    <w:next w:val="31"/>
    <w:qFormat/>
    <w:uiPriority w:val="0"/>
    <w:pPr>
      <w:keepNext/>
      <w:keepLines/>
      <w:spacing w:before="100" w:after="60" w:line="264" w:lineRule="auto"/>
      <w:jc w:val="left"/>
    </w:pPr>
    <w:rPr>
      <w:rFonts w:ascii="Times New Roman" w:hAnsi="Times New Roman" w:eastAsia="Times New Roman" w:cs="Times New Roman"/>
      <w:b/>
      <w:i w:val="0"/>
      <w:color w:val="000000"/>
      <w:sz w:val="20"/>
      <w:szCs w:val="20"/>
    </w:rPr>
  </w:style>
  <w:style w:type="paragraph" w:customStyle="1" w:styleId="31">
    <w:name w:val="Abstract"/>
    <w:basedOn w:val="1"/>
    <w:next w:val="3"/>
    <w:qFormat/>
    <w:uiPriority w:val="0"/>
    <w:pPr>
      <w:keepNext/>
      <w:keepLines/>
      <w:spacing w:before="0" w:after="80" w:line="276" w:lineRule="auto"/>
      <w:ind w:firstLine="0"/>
      <w:jc w:val="both"/>
    </w:pPr>
    <w:rPr>
      <w:rFonts w:ascii="Times New Roman" w:hAnsi="Times New Roman" w:eastAsia="Times New Roman" w:cs="Times New Roman"/>
      <w:b w:val="0"/>
      <w:i w:val="0"/>
      <w:color w:val="000000"/>
      <w:sz w:val="20"/>
      <w:szCs w:val="20"/>
    </w:rPr>
  </w:style>
  <w:style w:type="paragraph" w:customStyle="1" w:styleId="32">
    <w:name w:val="Bibliography"/>
    <w:basedOn w:val="1"/>
    <w:qFormat/>
    <w:uiPriority w:val="0"/>
    <w:pPr>
      <w:spacing w:before="0" w:after="80" w:line="276" w:lineRule="auto"/>
      <w:ind w:left="360" w:hanging="360"/>
    </w:pPr>
    <w:rPr>
      <w:rFonts w:ascii="Times New Roman" w:hAnsi="Times New Roman" w:eastAsia="Times New Roman" w:cs="Times New Roman"/>
      <w:b w:val="0"/>
      <w:i w:val="0"/>
      <w:color w:val="000000"/>
      <w:sz w:val="20"/>
    </w:rPr>
  </w:style>
  <w:style w:type="character" w:customStyle="1" w:styleId="33">
    <w:name w:val="Heading 1 Char"/>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Heading 2 Char"/>
    <w:basedOn w:val="20"/>
    <w:link w:val="4"/>
    <w:semiHidden/>
    <w:uiPriority w:val="9"/>
    <w:rPr>
      <w:rFonts w:asciiTheme="majorHAnsi" w:hAnsiTheme="majorHAnsi" w:eastAsiaTheme="majorEastAsia" w:cstheme="majorBidi"/>
      <w:color w:val="104862" w:themeColor="accent1" w:themeShade="BF"/>
      <w:sz w:val="32"/>
      <w:szCs w:val="32"/>
    </w:rPr>
  </w:style>
  <w:style w:type="character" w:customStyle="1" w:styleId="35">
    <w:name w:val="Heading 3 Char"/>
    <w:basedOn w:val="20"/>
    <w:link w:val="5"/>
    <w:semiHidden/>
    <w:uiPriority w:val="9"/>
    <w:rPr>
      <w:rFonts w:eastAsiaTheme="majorEastAsia" w:cstheme="majorBidi"/>
      <w:color w:val="104862" w:themeColor="accent1" w:themeShade="BF"/>
      <w:sz w:val="28"/>
      <w:szCs w:val="28"/>
    </w:rPr>
  </w:style>
  <w:style w:type="character" w:customStyle="1" w:styleId="36">
    <w:name w:val="Heading 4 Char"/>
    <w:basedOn w:val="20"/>
    <w:link w:val="6"/>
    <w:semiHidden/>
    <w:qFormat/>
    <w:uiPriority w:val="9"/>
    <w:rPr>
      <w:rFonts w:eastAsiaTheme="majorEastAsia" w:cstheme="majorBidi"/>
      <w:i/>
      <w:iCs/>
      <w:color w:val="104862" w:themeColor="accent1" w:themeShade="BF"/>
    </w:rPr>
  </w:style>
  <w:style w:type="character" w:customStyle="1" w:styleId="37">
    <w:name w:val="Heading 5 Char"/>
    <w:basedOn w:val="20"/>
    <w:link w:val="7"/>
    <w:semiHidden/>
    <w:qFormat/>
    <w:uiPriority w:val="9"/>
    <w:rPr>
      <w:rFonts w:eastAsiaTheme="majorEastAsia" w:cstheme="majorBidi"/>
      <w:color w:val="104862" w:themeColor="accent1" w:themeShade="BF"/>
    </w:rPr>
  </w:style>
  <w:style w:type="character" w:customStyle="1" w:styleId="38">
    <w:name w:val="Heading 6 Char"/>
    <w:basedOn w:val="20"/>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20"/>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spacing w:before="60" w:after="120" w:line="240" w:lineRule="auto"/>
      <w:jc w:val="left"/>
    </w:pPr>
    <w:rPr>
      <w:rFonts w:ascii="Times New Roman" w:hAnsi="Times New Roman" w:eastAsia="Times New Roman" w:cs="Times New Roman"/>
      <w:b w:val="0"/>
      <w:i/>
      <w:color w:val="000000"/>
      <w:sz w:val="18"/>
    </w:rPr>
  </w:style>
  <w:style w:type="paragraph" w:customStyle="1" w:styleId="47">
    <w:name w:val="Image Caption"/>
    <w:basedOn w:val="12"/>
    <w:qFormat/>
    <w:uiPriority w:val="0"/>
    <w:pPr>
      <w:keepNext/>
      <w:spacing w:before="60" w:after="120" w:line="240" w:lineRule="auto"/>
      <w:jc w:val="left"/>
    </w:pPr>
    <w:rPr>
      <w:rFonts w:ascii="Times New Roman" w:hAnsi="Times New Roman" w:eastAsia="Times New Roman" w:cs="Times New Roman"/>
      <w:b w:val="0"/>
      <w:i/>
      <w:color w:val="000000"/>
      <w:sz w:val="18"/>
    </w:rPr>
  </w:style>
  <w:style w:type="paragraph" w:customStyle="1" w:styleId="48">
    <w:name w:val="Figure"/>
    <w:basedOn w:val="1"/>
    <w:uiPriority w:val="0"/>
  </w:style>
  <w:style w:type="paragraph" w:customStyle="1" w:styleId="49">
    <w:name w:val="Captioned Figure"/>
    <w:basedOn w:val="48"/>
    <w:uiPriority w:val="0"/>
    <w:pPr>
      <w:keepNext/>
      <w:spacing w:before="160" w:after="40" w:line="240" w:lineRule="auto"/>
      <w:jc w:val="center"/>
    </w:pPr>
    <w:rPr>
      <w:rFonts w:ascii="Times New Roman" w:hAnsi="Times New Roman" w:eastAsia="Times New Roman" w:cs="Times New Roman"/>
      <w:b w:val="0"/>
      <w:i w:val="0"/>
      <w:color w:val="000000"/>
      <w:sz w:val="20"/>
    </w:rPr>
  </w:style>
  <w:style w:type="character" w:customStyle="1" w:styleId="50">
    <w:name w:val="Verbatim Char"/>
    <w:basedOn w:val="22"/>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2"/>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104862"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4157</Words>
  <Characters>25710</Characters>
  <Lines>12</Lines>
  <Paragraphs>8</Paragraphs>
  <TotalTime>59</TotalTime>
  <ScaleCrop>false</ScaleCrop>
  <LinksUpToDate>false</LinksUpToDate>
  <CharactersWithSpaces>29361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2026-03-03T17:52:00Z</dcterms:created>
  <dc:creator>Anonymous Author(s)</dc:creator>
  <cp:lastModifiedBy>半生瓜配秋刀鱼</cp:lastModifiedBy>
  <dcterms:modified xsi:type="dcterms:W3CDTF">2026-03-10T17:26:33Z</dcterms:modified>
  <dc:title>A drift-aware and deployment-oriented evaluation framework for fish multi-object tracking in digital aquaculture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presents an investigator-developed evaluation framework for fish multi-object tracking and counting in digital aquaculture, centered on audit-ready protocol design, drift-robustness monitoring, and deployment decision rules. Rather than claiming across-the-board gains, we integrate run-configuration locking, data-ingestion checks, manifest hash tracing, controlled detector degradation (drop/jitter), quantile stratified difficulty analysis, count stability metrics, and runtime profiling in one reproducible pipeline. On a frozen val-half snapshot (8 sequences, 1000 frames each, seeds 0/1/2), Base reports HOTA 58.232 \pm 0.304 and IDF1 64.042 \pm 0.550, while ByteTrack reports HOTA 58.431 \pm 0.291 and IDF1 64.011 \pm 0.545. The +gating/+traj/+adaptive variants expose explicit trade-offs rather than monotonic gains. Controlled degradation and bucketed diagnostics show where failures accumulate (especially low-confidence and turning regimes), while runtime profiling separates lightweight options (Base, +gating) from high-cost options (+traj, +adaptive). We translate these observations into threshold-based guidance for CPU/edge deployment under frame-rate and memory constraints. The resulting contribution is an engineering evidence framework that links fairness, stress testing, failure interpretation, and reproducible release artifacts for smart aquaculture.</vt:lpwstr>
  </property>
  <property fmtid="{D5CDD505-2E9C-101B-9397-08002B2CF9AE}" pid="3" name="bibliography">
    <vt:lpwstr>references.bib</vt:lpwstr>
  </property>
  <property fmtid="{D5CDD505-2E9C-101B-9397-08002B2CF9AE}" pid="4" name="KSOTemplateDocerSaveRecord">
    <vt:lpwstr>eyJoZGlkIjoiODQxNWI1OWE1YTExOWFiZTgwZTY5NmZhYmNiODRiMTUiLCJ1c2VySWQiOiIxMTMzMDE3NjUzIn0=</vt:lpwstr>
  </property>
  <property fmtid="{D5CDD505-2E9C-101B-9397-08002B2CF9AE}" pid="5" name="KSOProductBuildVer">
    <vt:lpwstr>2052-12.1.0.25225</vt:lpwstr>
  </property>
  <property fmtid="{D5CDD505-2E9C-101B-9397-08002B2CF9AE}" pid="6" name="ICV">
    <vt:lpwstr>104CEF24BC404C599691087F3981FAE6_13</vt:lpwstr>
  </property>
</Properties>
</file>