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rPr>
          <w:rFonts w:ascii="Times New Roman" w:hAnsi="Times New Roman"/>
          <w:sz w:val="20"/>
        </w:rPr>
        <w:t>Audit-ready protocol links fairness checks, stress tests, and deployment rules.</w:t>
      </w:r>
    </w:p>
    <w:p>
      <w:pPr>
        <w:pStyle w:val="ListBullet"/>
      </w:pPr>
      <w:r>
        <w:rPr>
          <w:rFonts w:ascii="Times New Roman" w:hAnsi="Times New Roman"/>
          <w:sz w:val="20"/>
        </w:rPr>
        <w:t>Drift-aware diagnostics localize failures by bucket and activation behavior.</w:t>
      </w:r>
    </w:p>
    <w:p>
      <w:pPr>
        <w:pStyle w:val="ListBullet"/>
      </w:pPr>
      <w:r>
        <w:rPr>
          <w:rFonts w:ascii="Times New Roman" w:hAnsi="Times New Roman"/>
          <w:sz w:val="20"/>
        </w:rPr>
        <w:t>Candidate threshold intervals are evaluated via activation-level diagnostics.</w:t>
      </w:r>
    </w:p>
    <w:p>
      <w:pPr>
        <w:pStyle w:val="ListBullet"/>
      </w:pPr>
      <w:r>
        <w:rPr>
          <w:rFonts w:ascii="Times New Roman" w:hAnsi="Times New Roman"/>
          <w:sz w:val="20"/>
        </w:rPr>
        <w:t>Scope A/B runtime reporting separates tracker cost from end-to-end cost.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