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 xml:space="preserve"> OncoDrug-Seq™泛癌种基因检测是一种基于高通量测序（NGS）的检测方法，可鉴定数百个与肿瘤高度相关的基因中的基因变异。检测基因列表及覆盖范围见后文附录。</w:t>
      </w:r>
    </w:p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