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A80E" w14:textId="77777777" w:rsidR="00555E19" w:rsidRPr="00555E19" w:rsidRDefault="00555E19" w:rsidP="00555E19"/>
    <w:p w14:paraId="5511637B" w14:textId="124BDC23" w:rsidR="00DF6E6F" w:rsidRDefault="00520D5D" w:rsidP="00520D5D">
      <w:pPr>
        <w:pStyle w:val="02"/>
      </w:pPr>
      <w:r w:rsidRPr="00520D5D">
        <w:t>结果汇总</w:t>
      </w:r>
    </w:p>
    <w:p w14:paraId="771F6D20" w14:textId="77777777" w:rsidR="008E4470" w:rsidRPr="008E4470" w:rsidRDefault="008E4470" w:rsidP="008E4470"/>
    <w:tbl>
      <w:tblPr>
        <w:tblStyle w:val="1sumdetectinfo1"/>
        <w:tblW w:w="0" w:type="auto"/>
        <w:tblLook w:val="04A0" w:firstRow="1" w:lastRow="0" w:firstColumn="1" w:lastColumn="0" w:noHBand="0" w:noVBand="1"/>
      </w:tblPr>
      <w:tblGrid>
        <w:gridCol w:w="10188"/>
      </w:tblGrid>
      <w:tr w:rsidR="00520D5D" w14:paraId="44C0DB53" w14:textId="77777777" w:rsidTr="00520D5D">
        <w:tc>
          <w:tcPr>
            <w:tcW w:w="10188" w:type="dxa"/>
          </w:tcPr>
          <w:p w14:paraId="32E2E03A" w14:textId="57B828DF" w:rsidR="00520D5D" w:rsidRDefault="00520D5D" w:rsidP="00520D5D">
            <w:pPr>
              <w:pStyle w:val="0detecinfotable1"/>
              <w:spacing w:before="60" w:after="60"/>
            </w:pPr>
            <w:r>
              <w:rPr>
                <w:rFonts w:hint="eastAsia"/>
              </w:rPr>
              <w:t>靶向药物相关基因变异</w:t>
            </w:r>
          </w:p>
        </w:tc>
      </w:tr>
    </w:tbl>
    <w:tbl>
      <w:tblPr>
        <w:tblStyle w:val="1sumdetectinfo2"/>
        <w:tblW w:w="0" w:type="auto"/>
        <w:tblLook w:val="04A0" w:firstRow="1" w:lastRow="0" w:firstColumn="1" w:lastColumn="0" w:noHBand="0" w:noVBand="1"/>
      </w:tblPr>
      <w:tblGrid>
        <w:gridCol w:w="10188"/>
      </w:tblGrid>
      <w:tr w:rsidR="00520D5D" w14:paraId="50F83D8F" w14:textId="77777777" w:rsidTr="00520D5D">
        <w:tc>
          <w:tcPr>
            <w:tcW w:w="10188" w:type="dxa"/>
          </w:tcPr>
          <w:p w14:paraId="7205DD99" w14:textId="403C7EAF" w:rsidR="00520D5D" w:rsidRDefault="00520D5D" w:rsidP="00520D5D">
            <w:pPr>
              <w:pStyle w:val="0detecinfotable2"/>
              <w:spacing w:before="60" w:after="60"/>
            </w:pPr>
            <w:bookmarkStart w:id="0" w:name="_GoBack"/>
            <w:r>
              <w:t>共检出已知靶向药物相关的</w:t>
            </w:r>
            <w:r w:rsidR="00286C03">
              <w:t xml:space="preserve">{{ </w:t>
            </w:r>
            <w:proofErr w:type="spellStart"/>
            <w:r w:rsidR="00286C03">
              <w:t>nums.tarnum</w:t>
            </w:r>
            <w:proofErr w:type="spellEnd"/>
            <w:r w:rsidR="00286C03">
              <w:t xml:space="preserve"> }}</w:t>
            </w:r>
            <w:r>
              <w:t>个基因突变，</w:t>
            </w:r>
            <w:r w:rsidR="00286C03">
              <w:t xml:space="preserve">{{ </w:t>
            </w:r>
            <w:proofErr w:type="spellStart"/>
            <w:r w:rsidR="00286C03">
              <w:t>nums.fum</w:t>
            </w:r>
            <w:proofErr w:type="spellEnd"/>
            <w:r w:rsidR="00286C03">
              <w:t xml:space="preserve"> }}</w:t>
            </w:r>
            <w:r>
              <w:t>个基因重排，</w:t>
            </w:r>
            <w:r w:rsidR="00286C03">
              <w:t xml:space="preserve">{{ </w:t>
            </w:r>
            <w:proofErr w:type="spellStart"/>
            <w:r w:rsidR="00286C03">
              <w:t>nums.cnanum</w:t>
            </w:r>
            <w:proofErr w:type="spellEnd"/>
            <w:r w:rsidR="00286C03">
              <w:t xml:space="preserve"> }}</w:t>
            </w:r>
            <w:r>
              <w:t>个基因拷贝数变异，</w:t>
            </w:r>
            <w:r w:rsidR="00286C03">
              <w:t xml:space="preserve">共涉及{{ </w:t>
            </w:r>
            <w:proofErr w:type="spellStart"/>
            <w:r w:rsidR="00286C03">
              <w:t>drug.allnum</w:t>
            </w:r>
            <w:proofErr w:type="spellEnd"/>
            <w:r w:rsidR="00286C03">
              <w:t xml:space="preserve"> }}种靶向药物，其中{{ </w:t>
            </w:r>
            <w:proofErr w:type="spellStart"/>
            <w:r w:rsidR="00286C03">
              <w:t>drug.maynum</w:t>
            </w:r>
            <w:proofErr w:type="spellEnd"/>
            <w:r w:rsidR="00286C03">
              <w:t xml:space="preserve"> }}种敏感药物，{{ </w:t>
            </w:r>
            <w:proofErr w:type="spellStart"/>
            <w:r w:rsidR="00286C03">
              <w:t>drug.</w:t>
            </w:r>
            <w:r w:rsidR="00286C03" w:rsidRPr="00286C03">
              <w:t>resistantnum</w:t>
            </w:r>
            <w:proofErr w:type="spellEnd"/>
            <w:r w:rsidR="00286C03">
              <w:t xml:space="preserve"> }}种耐药药物，</w:t>
            </w:r>
            <w:r>
              <w:t>此外，在相关基因范围内还检出临床意义未明突变</w:t>
            </w:r>
            <w:r w:rsidR="00286C03">
              <w:t xml:space="preserve">{{ </w:t>
            </w:r>
            <w:proofErr w:type="spellStart"/>
            <w:r w:rsidR="00286C03">
              <w:t>nums.unknowtarnum</w:t>
            </w:r>
            <w:proofErr w:type="spellEnd"/>
            <w:r w:rsidR="00286C03">
              <w:t xml:space="preserve"> }}</w:t>
            </w:r>
            <w:r>
              <w:t>个。</w:t>
            </w:r>
          </w:p>
          <w:p w14:paraId="08196304" w14:textId="06413BC7" w:rsidR="00520D5D" w:rsidRDefault="00520D5D" w:rsidP="00520D5D">
            <w:pPr>
              <w:pStyle w:val="0detecinfotable2"/>
              <w:spacing w:before="60" w:after="60"/>
            </w:pPr>
            <w:r>
              <w:t>涉及的靶向药物具体如下：</w:t>
            </w:r>
            <w:bookmarkEnd w:id="0"/>
          </w:p>
        </w:tc>
      </w:tr>
    </w:tbl>
    <w:tbl>
      <w:tblPr>
        <w:tblStyle w:val="ac"/>
        <w:tblW w:w="10205" w:type="dxa"/>
        <w:tblBorders>
          <w:top w:val="none" w:sz="0" w:space="0" w:color="auto"/>
          <w:left w:val="none" w:sz="0" w:space="0" w:color="auto"/>
          <w:bottom w:val="single" w:sz="2" w:space="0" w:color="3E7C87"/>
          <w:right w:val="none" w:sz="0" w:space="0" w:color="auto"/>
          <w:insideH w:val="single" w:sz="2" w:space="0" w:color="3E7C87"/>
          <w:insideV w:val="single" w:sz="2" w:space="0" w:color="3E7C87"/>
        </w:tblBorders>
        <w:tblCellMar>
          <w:top w:w="85" w:type="dxa"/>
          <w:bottom w:w="85" w:type="dxa"/>
        </w:tblCellMar>
        <w:tblLook w:val="04A0" w:firstRow="1" w:lastRow="0" w:firstColumn="1" w:lastColumn="0" w:noHBand="0" w:noVBand="1"/>
      </w:tblPr>
      <w:tblGrid>
        <w:gridCol w:w="1134"/>
        <w:gridCol w:w="4677"/>
        <w:gridCol w:w="4394"/>
      </w:tblGrid>
      <w:tr w:rsidR="00520D5D" w14:paraId="66021C1C" w14:textId="77777777" w:rsidTr="00286C03">
        <w:tc>
          <w:tcPr>
            <w:tcW w:w="1134" w:type="dxa"/>
            <w:shd w:val="clear" w:color="auto" w:fill="005063"/>
            <w:vAlign w:val="center"/>
          </w:tcPr>
          <w:p w14:paraId="5A9D2D03" w14:textId="7B4711A5" w:rsidR="00520D5D" w:rsidRDefault="00520D5D" w:rsidP="00CA7468">
            <w:pPr>
              <w:pStyle w:val="0detecinfotable1"/>
              <w:spacing w:before="60" w:after="60"/>
              <w:jc w:val="both"/>
            </w:pPr>
            <w:r w:rsidRPr="00347B3D">
              <w:t>推荐使用</w:t>
            </w:r>
          </w:p>
        </w:tc>
        <w:tc>
          <w:tcPr>
            <w:tcW w:w="4677" w:type="dxa"/>
          </w:tcPr>
          <w:p w14:paraId="5AD4BF07" w14:textId="2EE5B060" w:rsidR="00520D5D" w:rsidRDefault="00520D5D" w:rsidP="00520D5D">
            <w:pPr>
              <w:pStyle w:val="0detecinfotable2"/>
              <w:spacing w:before="60" w:after="60"/>
            </w:pPr>
            <w:r w:rsidRPr="00520D5D">
              <w:t>可能敏感药物/方案NMPA/FDANMPA/FDANMPA/FDANMPA FDA NMPA/FDA或NCCN在本病种批准或推荐，可荐使用）</w:t>
            </w:r>
          </w:p>
        </w:tc>
        <w:tc>
          <w:tcPr>
            <w:tcW w:w="4394" w:type="dxa"/>
            <w:vAlign w:val="center"/>
          </w:tcPr>
          <w:p w14:paraId="2EB161CF" w14:textId="0CDA8436" w:rsidR="00520D5D" w:rsidRDefault="00286C03" w:rsidP="00286C03">
            <w:pPr>
              <w:pStyle w:val="0detecinfotable2"/>
              <w:spacing w:before="60" w:after="60"/>
              <w:jc w:val="both"/>
            </w:pPr>
            <w:r>
              <w:t>{{ drug.type1 }}</w:t>
            </w:r>
          </w:p>
        </w:tc>
      </w:tr>
      <w:tr w:rsidR="00520D5D" w14:paraId="3E3BCFF9" w14:textId="77777777" w:rsidTr="00286C03">
        <w:tc>
          <w:tcPr>
            <w:tcW w:w="1134" w:type="dxa"/>
            <w:shd w:val="clear" w:color="auto" w:fill="3E7C87"/>
            <w:vAlign w:val="center"/>
          </w:tcPr>
          <w:p w14:paraId="79FD5D2C" w14:textId="0E3F1870" w:rsidR="00520D5D" w:rsidRDefault="00520D5D" w:rsidP="00CA7468">
            <w:pPr>
              <w:pStyle w:val="0detecinfotable1"/>
              <w:spacing w:before="60" w:after="60"/>
              <w:jc w:val="both"/>
            </w:pPr>
            <w:r w:rsidRPr="00347B3D">
              <w:t>酌情使用</w:t>
            </w:r>
          </w:p>
        </w:tc>
        <w:tc>
          <w:tcPr>
            <w:tcW w:w="4677" w:type="dxa"/>
          </w:tcPr>
          <w:p w14:paraId="07EC5C9F" w14:textId="0BFB7841" w:rsidR="00520D5D" w:rsidRDefault="00520D5D" w:rsidP="00520D5D">
            <w:pPr>
              <w:pStyle w:val="0detecinfotable2"/>
              <w:spacing w:before="60" w:after="60"/>
            </w:pPr>
            <w:r w:rsidRPr="009558E6">
              <w:t>潜在敏感药物 /方案（未上市或在其 他病种获得批准，可参加相关临床实验或酌情考虑试验性治疗）</w:t>
            </w:r>
          </w:p>
        </w:tc>
        <w:tc>
          <w:tcPr>
            <w:tcW w:w="4394" w:type="dxa"/>
            <w:vAlign w:val="center"/>
          </w:tcPr>
          <w:p w14:paraId="11A9E827" w14:textId="2795EB19" w:rsidR="00520D5D" w:rsidRDefault="00286C03" w:rsidP="00286C03">
            <w:pPr>
              <w:pStyle w:val="0detecinfotable2"/>
              <w:spacing w:before="60" w:after="60"/>
              <w:jc w:val="both"/>
            </w:pPr>
            <w:r>
              <w:t>{{ drug.type2 }}</w:t>
            </w:r>
          </w:p>
        </w:tc>
      </w:tr>
      <w:tr w:rsidR="00520D5D" w14:paraId="7BAA4252" w14:textId="77777777" w:rsidTr="00286C03">
        <w:tc>
          <w:tcPr>
            <w:tcW w:w="1134" w:type="dxa"/>
            <w:shd w:val="clear" w:color="auto" w:fill="82A8AF"/>
            <w:vAlign w:val="center"/>
          </w:tcPr>
          <w:p w14:paraId="17A658F4" w14:textId="5DDF2CE9" w:rsidR="00520D5D" w:rsidRDefault="00520D5D" w:rsidP="00CA7468">
            <w:pPr>
              <w:pStyle w:val="0detecinfotable1"/>
              <w:spacing w:before="60" w:after="60"/>
              <w:jc w:val="both"/>
            </w:pPr>
            <w:r w:rsidRPr="00347B3D">
              <w:t>不推荐</w:t>
            </w:r>
          </w:p>
        </w:tc>
        <w:tc>
          <w:tcPr>
            <w:tcW w:w="4677" w:type="dxa"/>
          </w:tcPr>
          <w:p w14:paraId="63AF45C8" w14:textId="4941153A" w:rsidR="00520D5D" w:rsidRDefault="00520D5D" w:rsidP="00520D5D">
            <w:pPr>
              <w:pStyle w:val="0detecinfotable2"/>
              <w:spacing w:before="60" w:after="60"/>
            </w:pPr>
            <w:r w:rsidRPr="009558E6">
              <w:t>可能耐药物（不推荐使用）</w:t>
            </w:r>
          </w:p>
        </w:tc>
        <w:tc>
          <w:tcPr>
            <w:tcW w:w="4394" w:type="dxa"/>
            <w:vAlign w:val="center"/>
          </w:tcPr>
          <w:p w14:paraId="5614EBE3" w14:textId="7B6413CA" w:rsidR="00520D5D" w:rsidRDefault="00286C03" w:rsidP="00286C03">
            <w:pPr>
              <w:pStyle w:val="0detecinfotable2"/>
              <w:spacing w:before="60" w:after="60"/>
              <w:jc w:val="both"/>
            </w:pPr>
            <w:r>
              <w:t>{{ drug.type3 }}</w:t>
            </w:r>
          </w:p>
        </w:tc>
      </w:tr>
    </w:tbl>
    <w:p w14:paraId="44979599" w14:textId="4A74024E" w:rsidR="008E4470" w:rsidRDefault="001868E7" w:rsidP="001868E7">
      <w:pPr>
        <w:pStyle w:val="04"/>
      </w:pPr>
      <w:r w:rsidRPr="001868E7">
        <w:t>备注：在各类靶向治疗中，抗血管生成途径缺乏有效的预测性生物标志物，请临床医生根据其他临床特征综合决策。具有抗血管生成作用的药物有两类，包括抗血管大分子抗体如贝伐珠单抗，</w:t>
      </w:r>
      <w:proofErr w:type="spellStart"/>
      <w:r w:rsidRPr="001868E7">
        <w:t>Ramucirumab</w:t>
      </w:r>
      <w:proofErr w:type="spellEnd"/>
      <w:r w:rsidRPr="001868E7">
        <w:t>[雷莫芦单抗]，</w:t>
      </w:r>
      <w:proofErr w:type="spellStart"/>
      <w:r w:rsidRPr="001868E7">
        <w:t>Ziv-aflibercept</w:t>
      </w:r>
      <w:proofErr w:type="spellEnd"/>
      <w:r w:rsidRPr="001868E7">
        <w:t>[阿柏西普]等，以及小分子多靶点酪氨酸激酶抑制剂如阿帕替尼，安罗替尼，呋喹替尼，索凡替尼，仑伐替尼，索拉非尼，舒尼替尼，阿昔替尼，</w:t>
      </w:r>
      <w:proofErr w:type="spellStart"/>
      <w:r w:rsidRPr="001868E7">
        <w:t>Pazoparib</w:t>
      </w:r>
      <w:proofErr w:type="spellEnd"/>
      <w:r w:rsidRPr="001868E7">
        <w:t>[帕唑帕尼]等等。</w:t>
      </w:r>
    </w:p>
    <w:p w14:paraId="2097E576" w14:textId="77777777" w:rsidR="008E4470" w:rsidRDefault="008E4470" w:rsidP="008E4470"/>
    <w:p w14:paraId="5F894872" w14:textId="436B6889" w:rsidR="001868E7" w:rsidRPr="008E4470" w:rsidRDefault="001868E7" w:rsidP="008E4470"/>
    <w:tbl>
      <w:tblPr>
        <w:tblStyle w:val="1summarycommon"/>
        <w:tblW w:w="0" w:type="auto"/>
        <w:tblLook w:val="04A0" w:firstRow="1" w:lastRow="0" w:firstColumn="1" w:lastColumn="0" w:noHBand="0" w:noVBand="1"/>
      </w:tblPr>
      <w:tblGrid>
        <w:gridCol w:w="5094"/>
        <w:gridCol w:w="5094"/>
      </w:tblGrid>
      <w:tr w:rsidR="00CA7468" w14:paraId="53CC2D57" w14:textId="77777777" w:rsidTr="0044677C">
        <w:trPr>
          <w:cnfStyle w:val="100000000000" w:firstRow="1" w:lastRow="0" w:firstColumn="0" w:lastColumn="0" w:oddVBand="0" w:evenVBand="0" w:oddHBand="0" w:evenHBand="0" w:firstRowFirstColumn="0" w:firstRowLastColumn="0" w:lastRowFirstColumn="0" w:lastRowLastColumn="0"/>
        </w:trPr>
        <w:tc>
          <w:tcPr>
            <w:tcW w:w="5094" w:type="dxa"/>
          </w:tcPr>
          <w:p w14:paraId="07D539AE" w14:textId="47FC05E9" w:rsidR="00CA7468" w:rsidRDefault="00CA7468" w:rsidP="00FB372C">
            <w:pPr>
              <w:ind w:left="84" w:right="84"/>
            </w:pPr>
            <w:r w:rsidRPr="00CA7468">
              <w:t>免疫疗法相关生物标志物与基因变异</w:t>
            </w:r>
          </w:p>
        </w:tc>
        <w:tc>
          <w:tcPr>
            <w:tcW w:w="5094" w:type="dxa"/>
          </w:tcPr>
          <w:p w14:paraId="1A1286DB" w14:textId="77777777" w:rsidR="00CA7468" w:rsidRDefault="00CA7468" w:rsidP="00FB372C">
            <w:pPr>
              <w:ind w:left="84" w:right="84"/>
            </w:pPr>
          </w:p>
        </w:tc>
      </w:tr>
      <w:tr w:rsidR="00CA7468" w14:paraId="02CC735F" w14:textId="77777777" w:rsidTr="0044677C">
        <w:tblPrEx>
          <w:tblCellMar>
            <w:top w:w="170" w:type="dxa"/>
            <w:left w:w="108" w:type="dxa"/>
            <w:bottom w:w="170" w:type="dxa"/>
            <w:right w:w="108" w:type="dxa"/>
          </w:tblCellMar>
        </w:tblPrEx>
        <w:tc>
          <w:tcPr>
            <w:tcW w:w="5094" w:type="dxa"/>
          </w:tcPr>
          <w:p w14:paraId="5AF43BC5" w14:textId="2A7B963C" w:rsidR="00CA7468" w:rsidRDefault="00CA7468" w:rsidP="00FB372C">
            <w:pPr>
              <w:spacing w:before="120" w:after="120"/>
            </w:pPr>
            <w:r w:rsidRPr="00CA7468">
              <w:t>NCCN指南或FDA批准的免疫检查点抑制剂的预测性标志物</w:t>
            </w:r>
          </w:p>
        </w:tc>
        <w:tc>
          <w:tcPr>
            <w:tcW w:w="5094" w:type="dxa"/>
          </w:tcPr>
          <w:p w14:paraId="66A5D43F" w14:textId="5EBF04CA" w:rsidR="00CA7468" w:rsidRDefault="00CA7468" w:rsidP="00FB372C">
            <w:pPr>
              <w:spacing w:before="120" w:after="120"/>
            </w:pPr>
          </w:p>
        </w:tc>
      </w:tr>
      <w:tr w:rsidR="00CA7468" w14:paraId="69BF5F76" w14:textId="77777777" w:rsidTr="0044677C">
        <w:tblPrEx>
          <w:tblCellMar>
            <w:top w:w="170" w:type="dxa"/>
            <w:left w:w="108" w:type="dxa"/>
            <w:bottom w:w="170" w:type="dxa"/>
            <w:right w:w="108" w:type="dxa"/>
          </w:tblCellMar>
        </w:tblPrEx>
        <w:tc>
          <w:tcPr>
            <w:tcW w:w="5094" w:type="dxa"/>
          </w:tcPr>
          <w:p w14:paraId="7872A800" w14:textId="5D8F290C" w:rsidR="00CA7468" w:rsidRDefault="00CA7468" w:rsidP="00FB372C">
            <w:pPr>
              <w:spacing w:before="120" w:after="120"/>
            </w:pPr>
            <w:r w:rsidRPr="00CA7468">
              <w:t>临床研究数据支持的免疫检查点抑制剂的预测性标志物</w:t>
            </w:r>
          </w:p>
        </w:tc>
        <w:tc>
          <w:tcPr>
            <w:tcW w:w="5094" w:type="dxa"/>
          </w:tcPr>
          <w:p w14:paraId="61A3F373" w14:textId="4813925C" w:rsidR="00CA7468" w:rsidRDefault="00CA7468" w:rsidP="00FB372C">
            <w:pPr>
              <w:spacing w:before="120" w:after="120"/>
            </w:pPr>
          </w:p>
        </w:tc>
      </w:tr>
      <w:tr w:rsidR="00CA7468" w14:paraId="22D36278" w14:textId="77777777" w:rsidTr="0044677C">
        <w:tblPrEx>
          <w:tblCellMar>
            <w:top w:w="170" w:type="dxa"/>
            <w:left w:w="108" w:type="dxa"/>
            <w:bottom w:w="170" w:type="dxa"/>
            <w:right w:w="108" w:type="dxa"/>
          </w:tblCellMar>
        </w:tblPrEx>
        <w:tc>
          <w:tcPr>
            <w:tcW w:w="5094" w:type="dxa"/>
          </w:tcPr>
          <w:p w14:paraId="6DBE2627" w14:textId="01D175D0" w:rsidR="00CA7468" w:rsidRDefault="00CA7468" w:rsidP="00FB372C">
            <w:pPr>
              <w:spacing w:before="120" w:after="120"/>
            </w:pPr>
            <w:r w:rsidRPr="00CA7468">
              <w:t>可能发生治疗失败或超进展的预测性标志物</w:t>
            </w:r>
          </w:p>
        </w:tc>
        <w:tc>
          <w:tcPr>
            <w:tcW w:w="5094" w:type="dxa"/>
          </w:tcPr>
          <w:p w14:paraId="32CAA2C6" w14:textId="31E2A41F" w:rsidR="00CA7468" w:rsidRDefault="00CA7468" w:rsidP="00FB372C">
            <w:pPr>
              <w:spacing w:before="120" w:after="120"/>
            </w:pPr>
          </w:p>
        </w:tc>
      </w:tr>
    </w:tbl>
    <w:p w14:paraId="0692610F" w14:textId="77777777" w:rsidR="00520D5D" w:rsidRDefault="00520D5D" w:rsidP="008E4470"/>
    <w:p w14:paraId="0BAA5552" w14:textId="77777777" w:rsidR="008E4470" w:rsidRPr="008E4470" w:rsidRDefault="008E4470" w:rsidP="008E4470"/>
    <w:tbl>
      <w:tblPr>
        <w:tblStyle w:val="1summarycommon"/>
        <w:tblW w:w="0" w:type="auto"/>
        <w:tblLook w:val="04A0" w:firstRow="1" w:lastRow="0" w:firstColumn="1" w:lastColumn="0" w:noHBand="0" w:noVBand="1"/>
      </w:tblPr>
      <w:tblGrid>
        <w:gridCol w:w="5094"/>
        <w:gridCol w:w="5094"/>
      </w:tblGrid>
      <w:tr w:rsidR="008E4470" w14:paraId="23C701F5" w14:textId="77777777" w:rsidTr="008E4470">
        <w:trPr>
          <w:cnfStyle w:val="100000000000" w:firstRow="1" w:lastRow="0" w:firstColumn="0" w:lastColumn="0" w:oddVBand="0" w:evenVBand="0" w:oddHBand="0" w:evenHBand="0" w:firstRowFirstColumn="0" w:firstRowLastColumn="0" w:lastRowFirstColumn="0" w:lastRowLastColumn="0"/>
        </w:trPr>
        <w:tc>
          <w:tcPr>
            <w:tcW w:w="5094" w:type="dxa"/>
          </w:tcPr>
          <w:p w14:paraId="6F57679B" w14:textId="6E031FA0" w:rsidR="008E4470" w:rsidRDefault="008E4470" w:rsidP="00FB372C">
            <w:pPr>
              <w:ind w:left="84" w:right="84"/>
            </w:pPr>
            <w:r w:rsidRPr="00EF7DA7">
              <w:t>同源重组通路缺陷（HRD）分析</w:t>
            </w:r>
          </w:p>
        </w:tc>
        <w:tc>
          <w:tcPr>
            <w:tcW w:w="5094" w:type="dxa"/>
          </w:tcPr>
          <w:p w14:paraId="072EA6F0" w14:textId="77777777" w:rsidR="008E4470" w:rsidRDefault="008E4470" w:rsidP="00FB372C">
            <w:pPr>
              <w:ind w:left="84" w:right="84"/>
            </w:pPr>
          </w:p>
        </w:tc>
      </w:tr>
      <w:tr w:rsidR="008E4470" w14:paraId="0069C011" w14:textId="77777777" w:rsidTr="008E4470">
        <w:tblPrEx>
          <w:tblCellMar>
            <w:top w:w="170" w:type="dxa"/>
            <w:left w:w="108" w:type="dxa"/>
            <w:bottom w:w="170" w:type="dxa"/>
            <w:right w:w="108" w:type="dxa"/>
          </w:tblCellMar>
        </w:tblPrEx>
        <w:tc>
          <w:tcPr>
            <w:tcW w:w="5094" w:type="dxa"/>
          </w:tcPr>
          <w:p w14:paraId="24A2D365" w14:textId="1C7B0F3B" w:rsidR="008E4470" w:rsidRDefault="008E4470" w:rsidP="00FB372C">
            <w:pPr>
              <w:spacing w:before="120" w:after="120"/>
            </w:pPr>
            <w:r w:rsidRPr="00EC29A5">
              <w:t>BRCA1，BRCA2基因突变</w:t>
            </w:r>
          </w:p>
        </w:tc>
        <w:tc>
          <w:tcPr>
            <w:tcW w:w="5094" w:type="dxa"/>
          </w:tcPr>
          <w:p w14:paraId="159496CC" w14:textId="612796D1" w:rsidR="008E4470" w:rsidRDefault="008E4470" w:rsidP="00FB372C">
            <w:pPr>
              <w:spacing w:before="120" w:after="120"/>
            </w:pPr>
          </w:p>
        </w:tc>
      </w:tr>
      <w:tr w:rsidR="008E4470" w14:paraId="1AAA9263" w14:textId="77777777" w:rsidTr="008E4470">
        <w:tblPrEx>
          <w:tblCellMar>
            <w:top w:w="170" w:type="dxa"/>
            <w:left w:w="108" w:type="dxa"/>
            <w:bottom w:w="170" w:type="dxa"/>
            <w:right w:w="108" w:type="dxa"/>
          </w:tblCellMar>
        </w:tblPrEx>
        <w:tc>
          <w:tcPr>
            <w:tcW w:w="5094" w:type="dxa"/>
          </w:tcPr>
          <w:p w14:paraId="73FA093D" w14:textId="0CD47DF3" w:rsidR="008E4470" w:rsidRDefault="008E4470" w:rsidP="00FB372C">
            <w:pPr>
              <w:spacing w:before="120" w:after="120"/>
            </w:pPr>
            <w:r w:rsidRPr="00EC29A5">
              <w:t>其他HR基因突变</w:t>
            </w:r>
          </w:p>
        </w:tc>
        <w:tc>
          <w:tcPr>
            <w:tcW w:w="5094" w:type="dxa"/>
          </w:tcPr>
          <w:p w14:paraId="5A416AC9" w14:textId="60101491" w:rsidR="008E4470" w:rsidRDefault="008E4470" w:rsidP="00FB372C">
            <w:pPr>
              <w:spacing w:before="120" w:after="120"/>
            </w:pPr>
          </w:p>
        </w:tc>
      </w:tr>
      <w:tr w:rsidR="008E4470" w14:paraId="2A6BE191" w14:textId="77777777" w:rsidTr="008E4470">
        <w:tblPrEx>
          <w:tblCellMar>
            <w:top w:w="170" w:type="dxa"/>
            <w:left w:w="108" w:type="dxa"/>
            <w:bottom w:w="170" w:type="dxa"/>
            <w:right w:w="108" w:type="dxa"/>
          </w:tblCellMar>
        </w:tblPrEx>
        <w:tc>
          <w:tcPr>
            <w:tcW w:w="5094" w:type="dxa"/>
          </w:tcPr>
          <w:p w14:paraId="1CBEB2FD" w14:textId="7BA814B5" w:rsidR="008E4470" w:rsidRDefault="008E4470" w:rsidP="00FB372C">
            <w:pPr>
              <w:spacing w:before="120" w:after="120"/>
            </w:pPr>
            <w:r w:rsidRPr="00EC29A5">
              <w:t>突变特征分析（</w:t>
            </w:r>
            <w:proofErr w:type="spellStart"/>
            <w:r w:rsidRPr="00EC29A5">
              <w:t>SigMA</w:t>
            </w:r>
            <w:proofErr w:type="spellEnd"/>
            <w:r w:rsidRPr="00EC29A5">
              <w:t>算法）</w:t>
            </w:r>
          </w:p>
        </w:tc>
        <w:tc>
          <w:tcPr>
            <w:tcW w:w="5094" w:type="dxa"/>
          </w:tcPr>
          <w:p w14:paraId="5AE55146" w14:textId="63F1E9BF" w:rsidR="008E4470" w:rsidRDefault="008E4470" w:rsidP="00FB372C">
            <w:pPr>
              <w:spacing w:before="120" w:after="120"/>
            </w:pPr>
          </w:p>
        </w:tc>
      </w:tr>
    </w:tbl>
    <w:p w14:paraId="0DE12177" w14:textId="5DD5EF85" w:rsidR="008E4470" w:rsidRDefault="008E4470" w:rsidP="008E4470">
      <w:pPr>
        <w:pStyle w:val="04"/>
      </w:pPr>
      <w:r w:rsidRPr="008E4470">
        <w:t>阅读提示：BRCA基因突变对PARP抑制剂敏感的指导作用证据等级最高，其他HR基因突变证据等级次之，</w:t>
      </w:r>
      <w:proofErr w:type="spellStart"/>
      <w:r w:rsidRPr="008E4470">
        <w:t>SigMA</w:t>
      </w:r>
      <w:proofErr w:type="spellEnd"/>
      <w:r w:rsidRPr="008E4470">
        <w:t>算法目前仅用于科研</w:t>
      </w:r>
    </w:p>
    <w:p w14:paraId="3A1A5522" w14:textId="77777777" w:rsidR="008E4470" w:rsidRDefault="008E4470" w:rsidP="00FB372C"/>
    <w:p w14:paraId="7E4A9BF5" w14:textId="77777777" w:rsidR="008E4470" w:rsidRDefault="008E4470" w:rsidP="00FB372C"/>
    <w:tbl>
      <w:tblPr>
        <w:tblStyle w:val="1summarycommon"/>
        <w:tblW w:w="0" w:type="auto"/>
        <w:tblLook w:val="04A0" w:firstRow="1" w:lastRow="0" w:firstColumn="1" w:lastColumn="0" w:noHBand="0" w:noVBand="1"/>
      </w:tblPr>
      <w:tblGrid>
        <w:gridCol w:w="5094"/>
        <w:gridCol w:w="5094"/>
      </w:tblGrid>
      <w:tr w:rsidR="008E4470" w14:paraId="37D316FE" w14:textId="77777777" w:rsidTr="008E4470">
        <w:trPr>
          <w:cnfStyle w:val="100000000000" w:firstRow="1" w:lastRow="0" w:firstColumn="0" w:lastColumn="0" w:oddVBand="0" w:evenVBand="0" w:oddHBand="0" w:evenHBand="0" w:firstRowFirstColumn="0" w:firstRowLastColumn="0" w:lastRowFirstColumn="0" w:lastRowLastColumn="0"/>
        </w:trPr>
        <w:tc>
          <w:tcPr>
            <w:tcW w:w="5094" w:type="dxa"/>
          </w:tcPr>
          <w:p w14:paraId="3FAED4CE" w14:textId="0E77944E" w:rsidR="008E4470" w:rsidRDefault="008E4470" w:rsidP="00FB372C">
            <w:pPr>
              <w:ind w:left="84" w:right="84"/>
            </w:pPr>
            <w:r w:rsidRPr="002A74F7">
              <w:t>肿瘤遗传/易感性风险基因变异</w:t>
            </w:r>
          </w:p>
        </w:tc>
        <w:tc>
          <w:tcPr>
            <w:tcW w:w="5094" w:type="dxa"/>
          </w:tcPr>
          <w:p w14:paraId="3126C7FE" w14:textId="77777777" w:rsidR="008E4470" w:rsidRDefault="008E4470" w:rsidP="00FB372C">
            <w:pPr>
              <w:ind w:left="84" w:right="84"/>
            </w:pPr>
          </w:p>
        </w:tc>
      </w:tr>
      <w:tr w:rsidR="008E4470" w14:paraId="63DCFBA7" w14:textId="77777777" w:rsidTr="008E4470">
        <w:tblPrEx>
          <w:tblCellMar>
            <w:top w:w="170" w:type="dxa"/>
            <w:left w:w="108" w:type="dxa"/>
            <w:bottom w:w="170" w:type="dxa"/>
            <w:right w:w="108" w:type="dxa"/>
          </w:tblCellMar>
        </w:tblPrEx>
        <w:tc>
          <w:tcPr>
            <w:tcW w:w="5094" w:type="dxa"/>
          </w:tcPr>
          <w:p w14:paraId="3825DF32" w14:textId="1C812EB5" w:rsidR="008E4470" w:rsidRDefault="008E4470" w:rsidP="00FB372C">
            <w:pPr>
              <w:spacing w:before="120" w:after="120"/>
            </w:pPr>
            <w:r w:rsidRPr="002A74F7">
              <w:t>未发现致病/疑似致病的相关基因变异</w:t>
            </w:r>
          </w:p>
        </w:tc>
        <w:tc>
          <w:tcPr>
            <w:tcW w:w="5094" w:type="dxa"/>
          </w:tcPr>
          <w:p w14:paraId="1FF06199" w14:textId="77777777" w:rsidR="008E4470" w:rsidRDefault="008E4470" w:rsidP="00FB372C">
            <w:pPr>
              <w:spacing w:before="120" w:after="120"/>
            </w:pPr>
          </w:p>
        </w:tc>
      </w:tr>
    </w:tbl>
    <w:p w14:paraId="10CD96AE" w14:textId="77777777" w:rsidR="008E4470" w:rsidRDefault="008E4470" w:rsidP="00FB372C"/>
    <w:p w14:paraId="222BE1F2" w14:textId="77777777" w:rsidR="0044677C" w:rsidRDefault="0044677C" w:rsidP="00FB372C"/>
    <w:tbl>
      <w:tblPr>
        <w:tblStyle w:val="1sumdetectinfo1"/>
        <w:tblW w:w="0" w:type="auto"/>
        <w:tblLook w:val="04A0" w:firstRow="1" w:lastRow="0" w:firstColumn="1" w:lastColumn="0" w:noHBand="0" w:noVBand="1"/>
      </w:tblPr>
      <w:tblGrid>
        <w:gridCol w:w="10188"/>
      </w:tblGrid>
      <w:tr w:rsidR="008E4470" w14:paraId="1D91C383" w14:textId="77777777" w:rsidTr="004C684F">
        <w:tc>
          <w:tcPr>
            <w:tcW w:w="10188" w:type="dxa"/>
          </w:tcPr>
          <w:p w14:paraId="3D73C678" w14:textId="0D633927" w:rsidR="008E4470" w:rsidRDefault="004C684F" w:rsidP="004C684F">
            <w:pPr>
              <w:pStyle w:val="0detecinfotable1"/>
              <w:spacing w:before="60" w:after="60"/>
            </w:pPr>
            <w:r w:rsidRPr="004C684F">
              <w:t>化疗药物代谢酶基因多态性*</w:t>
            </w:r>
          </w:p>
        </w:tc>
      </w:tr>
    </w:tbl>
    <w:tbl>
      <w:tblPr>
        <w:tblStyle w:val="1sumdetectinfo2"/>
        <w:tblW w:w="0" w:type="auto"/>
        <w:tblLook w:val="04A0" w:firstRow="1" w:lastRow="0" w:firstColumn="1" w:lastColumn="0" w:noHBand="0" w:noVBand="1"/>
      </w:tblPr>
      <w:tblGrid>
        <w:gridCol w:w="10188"/>
      </w:tblGrid>
      <w:tr w:rsidR="004C684F" w14:paraId="57939112" w14:textId="77777777" w:rsidTr="004C684F">
        <w:tc>
          <w:tcPr>
            <w:tcW w:w="10188" w:type="dxa"/>
          </w:tcPr>
          <w:p w14:paraId="0D4628B0" w14:textId="79D0E1A3" w:rsidR="004C684F" w:rsidRDefault="004C684F" w:rsidP="004C684F">
            <w:pPr>
              <w:pStyle w:val="0detecinfotable2"/>
              <w:spacing w:before="60" w:after="60"/>
            </w:pPr>
            <w:r w:rsidRPr="004C684F">
              <w:t>共检测33个基因的43个SNP位点，详细结果见后文图表，对药物的综合预测结果如下：</w:t>
            </w:r>
          </w:p>
        </w:tc>
      </w:tr>
    </w:tbl>
    <w:tbl>
      <w:tblPr>
        <w:tblStyle w:val="ac"/>
        <w:tblW w:w="10205" w:type="dxa"/>
        <w:tblBorders>
          <w:top w:val="none" w:sz="0" w:space="0" w:color="auto"/>
          <w:left w:val="none" w:sz="0" w:space="0" w:color="auto"/>
          <w:bottom w:val="single" w:sz="2" w:space="0" w:color="3E7C87"/>
          <w:right w:val="none" w:sz="0" w:space="0" w:color="auto"/>
          <w:insideH w:val="single" w:sz="2" w:space="0" w:color="3E7C87"/>
          <w:insideV w:val="none" w:sz="0" w:space="0" w:color="auto"/>
        </w:tblBorders>
        <w:tblCellMar>
          <w:top w:w="198" w:type="dxa"/>
          <w:bottom w:w="198" w:type="dxa"/>
        </w:tblCellMar>
        <w:tblLook w:val="04A0" w:firstRow="1" w:lastRow="0" w:firstColumn="1" w:lastColumn="0" w:noHBand="0" w:noVBand="1"/>
      </w:tblPr>
      <w:tblGrid>
        <w:gridCol w:w="1701"/>
        <w:gridCol w:w="2976"/>
        <w:gridCol w:w="1701"/>
        <w:gridCol w:w="3827"/>
      </w:tblGrid>
      <w:tr w:rsidR="004C684F" w14:paraId="38784814" w14:textId="77777777" w:rsidTr="00E426FC">
        <w:tc>
          <w:tcPr>
            <w:tcW w:w="1701" w:type="dxa"/>
            <w:shd w:val="clear" w:color="auto" w:fill="005063"/>
            <w:vAlign w:val="center"/>
          </w:tcPr>
          <w:p w14:paraId="0F4A7A21" w14:textId="2690472D" w:rsidR="004C684F" w:rsidRDefault="007D49E6" w:rsidP="007D49E6">
            <w:pPr>
              <w:pStyle w:val="0detecinfotable1"/>
              <w:spacing w:before="60" w:after="60"/>
            </w:pPr>
            <w:r>
              <w:t>预测敏感性较好</w:t>
            </w:r>
          </w:p>
        </w:tc>
        <w:tc>
          <w:tcPr>
            <w:tcW w:w="2976" w:type="dxa"/>
            <w:vAlign w:val="center"/>
          </w:tcPr>
          <w:p w14:paraId="373BEB54" w14:textId="1FAA27B0" w:rsidR="004C684F" w:rsidRDefault="004C684F" w:rsidP="007D49E6">
            <w:pPr>
              <w:jc w:val="both"/>
            </w:pPr>
          </w:p>
        </w:tc>
        <w:tc>
          <w:tcPr>
            <w:tcW w:w="1701" w:type="dxa"/>
            <w:shd w:val="clear" w:color="auto" w:fill="808080"/>
            <w:vAlign w:val="center"/>
          </w:tcPr>
          <w:p w14:paraId="10BFB6DB" w14:textId="58911073" w:rsidR="004C684F" w:rsidRDefault="007D49E6" w:rsidP="007D49E6">
            <w:pPr>
              <w:pStyle w:val="0detecinfotable1"/>
              <w:spacing w:before="60" w:after="60"/>
            </w:pPr>
            <w:r>
              <w:t>预测敏感性较差</w:t>
            </w:r>
          </w:p>
        </w:tc>
        <w:tc>
          <w:tcPr>
            <w:tcW w:w="3827" w:type="dxa"/>
            <w:vAlign w:val="center"/>
          </w:tcPr>
          <w:p w14:paraId="25D6B206" w14:textId="0F3AB8CC" w:rsidR="004C684F" w:rsidRDefault="004C684F" w:rsidP="007D49E6">
            <w:pPr>
              <w:jc w:val="both"/>
            </w:pPr>
          </w:p>
        </w:tc>
      </w:tr>
      <w:tr w:rsidR="004C684F" w14:paraId="4A236304" w14:textId="77777777" w:rsidTr="00E426FC">
        <w:tc>
          <w:tcPr>
            <w:tcW w:w="1701" w:type="dxa"/>
            <w:shd w:val="clear" w:color="auto" w:fill="3E7C87"/>
            <w:vAlign w:val="center"/>
          </w:tcPr>
          <w:p w14:paraId="7971EE12" w14:textId="196024A6" w:rsidR="004C684F" w:rsidRDefault="007D49E6" w:rsidP="007D49E6">
            <w:pPr>
              <w:pStyle w:val="0detecinfotable1"/>
              <w:spacing w:before="60" w:after="60"/>
            </w:pPr>
            <w:r>
              <w:t>预测敏感性中等</w:t>
            </w:r>
          </w:p>
        </w:tc>
        <w:tc>
          <w:tcPr>
            <w:tcW w:w="2976" w:type="dxa"/>
            <w:vAlign w:val="center"/>
          </w:tcPr>
          <w:p w14:paraId="22C71B55" w14:textId="5DC148E7" w:rsidR="004C684F" w:rsidRDefault="004C684F" w:rsidP="007D49E6">
            <w:pPr>
              <w:jc w:val="both"/>
            </w:pPr>
          </w:p>
        </w:tc>
        <w:tc>
          <w:tcPr>
            <w:tcW w:w="1701" w:type="dxa"/>
            <w:shd w:val="clear" w:color="auto" w:fill="A6A6A6"/>
            <w:vAlign w:val="center"/>
          </w:tcPr>
          <w:p w14:paraId="4B7049D8" w14:textId="1A10C641" w:rsidR="004C684F" w:rsidRDefault="007D49E6" w:rsidP="007D49E6">
            <w:pPr>
              <w:pStyle w:val="0detecinfotable1"/>
              <w:spacing w:before="60" w:after="60"/>
            </w:pPr>
            <w:r>
              <w:t>预测敏感性较差</w:t>
            </w:r>
          </w:p>
        </w:tc>
        <w:tc>
          <w:tcPr>
            <w:tcW w:w="3827" w:type="dxa"/>
            <w:vAlign w:val="center"/>
          </w:tcPr>
          <w:p w14:paraId="2DCDC5A0" w14:textId="5B16A813" w:rsidR="004C684F" w:rsidRDefault="004C684F" w:rsidP="007D49E6">
            <w:pPr>
              <w:jc w:val="both"/>
            </w:pPr>
          </w:p>
        </w:tc>
      </w:tr>
      <w:tr w:rsidR="004C684F" w14:paraId="7AC5061A" w14:textId="77777777" w:rsidTr="00E426FC">
        <w:tc>
          <w:tcPr>
            <w:tcW w:w="1701" w:type="dxa"/>
            <w:shd w:val="clear" w:color="auto" w:fill="82A8AF"/>
            <w:vAlign w:val="center"/>
          </w:tcPr>
          <w:p w14:paraId="4A9A6CC4" w14:textId="0521AE4D" w:rsidR="004C684F" w:rsidRDefault="007D49E6" w:rsidP="007D49E6">
            <w:pPr>
              <w:pStyle w:val="0detecinfotable1"/>
              <w:spacing w:before="60" w:after="60"/>
            </w:pPr>
            <w:r>
              <w:t>预测敏感性较差</w:t>
            </w:r>
          </w:p>
        </w:tc>
        <w:tc>
          <w:tcPr>
            <w:tcW w:w="2976" w:type="dxa"/>
            <w:vAlign w:val="center"/>
          </w:tcPr>
          <w:p w14:paraId="214B6CA7" w14:textId="7D6AB0E5" w:rsidR="004C684F" w:rsidRDefault="004C684F" w:rsidP="007D49E6">
            <w:pPr>
              <w:jc w:val="both"/>
            </w:pPr>
          </w:p>
        </w:tc>
        <w:tc>
          <w:tcPr>
            <w:tcW w:w="1701" w:type="dxa"/>
            <w:shd w:val="clear" w:color="auto" w:fill="BFBFBF"/>
            <w:vAlign w:val="center"/>
          </w:tcPr>
          <w:p w14:paraId="65940727" w14:textId="5D7E82AF" w:rsidR="004C684F" w:rsidRDefault="007D49E6" w:rsidP="007D49E6">
            <w:pPr>
              <w:pStyle w:val="0detecinfotable1"/>
              <w:spacing w:before="60" w:after="60"/>
            </w:pPr>
            <w:r>
              <w:t>预测敏感性较差</w:t>
            </w:r>
          </w:p>
        </w:tc>
        <w:tc>
          <w:tcPr>
            <w:tcW w:w="3827" w:type="dxa"/>
            <w:vAlign w:val="center"/>
          </w:tcPr>
          <w:p w14:paraId="7AE33DC1" w14:textId="5AD0200E" w:rsidR="004C684F" w:rsidRDefault="004C684F" w:rsidP="007D49E6">
            <w:pPr>
              <w:jc w:val="both"/>
            </w:pPr>
          </w:p>
        </w:tc>
      </w:tr>
    </w:tbl>
    <w:p w14:paraId="0B0086B3" w14:textId="5096C9CD" w:rsidR="007D49E6" w:rsidRDefault="00D5701D" w:rsidP="00D5701D">
      <w:pPr>
        <w:pStyle w:val="04"/>
      </w:pPr>
      <w:r w:rsidRPr="00D5701D">
        <w:t>基因检测对化疗药物和内分泌治疗药物的指导依据是基于药物基因组学研究结果，其基于药物在体内代谢过程的变化而进行预测。因此，上述信息不能单独用于确定治疗方案。在临床应用中，应结合临床诊断、疾病分期分型、器官功能、体力状态等等临床因素综合决策。</w:t>
      </w:r>
    </w:p>
    <w:sectPr w:rsidR="007D49E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C3FB1" w14:textId="77777777" w:rsidR="0000785A" w:rsidRDefault="0000785A" w:rsidP="00E96490">
      <w:r>
        <w:separator/>
      </w:r>
    </w:p>
  </w:endnote>
  <w:endnote w:type="continuationSeparator" w:id="0">
    <w:p w14:paraId="766B6B7E" w14:textId="77777777" w:rsidR="0000785A" w:rsidRDefault="0000785A"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charset w:val="00"/>
    <w:family w:val="auto"/>
    <w:pitch w:val="variable"/>
    <w:sig w:usb0="E0002AEF" w:usb1="C0007841" w:usb2="00000009" w:usb3="00000000" w:csb0="000001FF" w:csb1="00000000"/>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panose1 w:val="00000000000000000000"/>
    <w:charset w:val="86"/>
    <w:family w:val="swiss"/>
    <w:notTrueType/>
    <w:pitch w:val="variable"/>
    <w:sig w:usb0="30000287" w:usb1="2BDF3C1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5050ADBA" w:rsidR="00B45317" w:rsidRDefault="00B45317" w:rsidP="00FB372C">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8B3FB" w14:textId="77777777" w:rsidR="0000785A" w:rsidRDefault="0000785A" w:rsidP="00E96490">
      <w:r>
        <w:separator/>
      </w:r>
    </w:p>
  </w:footnote>
  <w:footnote w:type="continuationSeparator" w:id="0">
    <w:p w14:paraId="377BBF25" w14:textId="77777777" w:rsidR="0000785A" w:rsidRDefault="0000785A"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0785A"/>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4F82"/>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45D9"/>
    <w:rsid w:val="00176C85"/>
    <w:rsid w:val="00177FE2"/>
    <w:rsid w:val="00181404"/>
    <w:rsid w:val="00181ED7"/>
    <w:rsid w:val="00182B43"/>
    <w:rsid w:val="00182EC5"/>
    <w:rsid w:val="00185641"/>
    <w:rsid w:val="00185FB9"/>
    <w:rsid w:val="001868E7"/>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813"/>
    <w:rsid w:val="00221CE6"/>
    <w:rsid w:val="002227F0"/>
    <w:rsid w:val="00222EFA"/>
    <w:rsid w:val="0022358A"/>
    <w:rsid w:val="0022393B"/>
    <w:rsid w:val="00224ADA"/>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6C03"/>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60DF"/>
    <w:rsid w:val="00366746"/>
    <w:rsid w:val="003673C7"/>
    <w:rsid w:val="0036797B"/>
    <w:rsid w:val="00367FC1"/>
    <w:rsid w:val="00370280"/>
    <w:rsid w:val="0037050F"/>
    <w:rsid w:val="00370BE6"/>
    <w:rsid w:val="00371D86"/>
    <w:rsid w:val="00371E7E"/>
    <w:rsid w:val="003721F5"/>
    <w:rsid w:val="0037272D"/>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1CD"/>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77C"/>
    <w:rsid w:val="00446A4C"/>
    <w:rsid w:val="00450088"/>
    <w:rsid w:val="00451607"/>
    <w:rsid w:val="0045357C"/>
    <w:rsid w:val="00453969"/>
    <w:rsid w:val="00453CA3"/>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55C1"/>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84F"/>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5347"/>
    <w:rsid w:val="00506001"/>
    <w:rsid w:val="005065E4"/>
    <w:rsid w:val="00507B83"/>
    <w:rsid w:val="0051150A"/>
    <w:rsid w:val="00511E34"/>
    <w:rsid w:val="005121BA"/>
    <w:rsid w:val="0051280D"/>
    <w:rsid w:val="00513468"/>
    <w:rsid w:val="005143D9"/>
    <w:rsid w:val="005149D3"/>
    <w:rsid w:val="0052005B"/>
    <w:rsid w:val="00520105"/>
    <w:rsid w:val="005202E6"/>
    <w:rsid w:val="00520D5D"/>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5E19"/>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40922"/>
    <w:rsid w:val="00640A84"/>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658A"/>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49E6"/>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2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C00B7"/>
    <w:rsid w:val="008C077B"/>
    <w:rsid w:val="008C1623"/>
    <w:rsid w:val="008C19A5"/>
    <w:rsid w:val="008C1C98"/>
    <w:rsid w:val="008C22D7"/>
    <w:rsid w:val="008C4F03"/>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470"/>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46D3D"/>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F70"/>
    <w:rsid w:val="009F3F28"/>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3552"/>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C7FF9"/>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B55"/>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3A70"/>
    <w:rsid w:val="00C63D98"/>
    <w:rsid w:val="00C64ECE"/>
    <w:rsid w:val="00C66716"/>
    <w:rsid w:val="00C674C9"/>
    <w:rsid w:val="00C71A69"/>
    <w:rsid w:val="00C71A76"/>
    <w:rsid w:val="00C71F95"/>
    <w:rsid w:val="00C72067"/>
    <w:rsid w:val="00C72439"/>
    <w:rsid w:val="00C72A48"/>
    <w:rsid w:val="00C73E26"/>
    <w:rsid w:val="00C74689"/>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46A"/>
    <w:rsid w:val="00CA53E7"/>
    <w:rsid w:val="00CA5521"/>
    <w:rsid w:val="00CA5845"/>
    <w:rsid w:val="00CA7468"/>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1172"/>
    <w:rsid w:val="00D5202E"/>
    <w:rsid w:val="00D52036"/>
    <w:rsid w:val="00D53110"/>
    <w:rsid w:val="00D5394C"/>
    <w:rsid w:val="00D54214"/>
    <w:rsid w:val="00D547A4"/>
    <w:rsid w:val="00D554FC"/>
    <w:rsid w:val="00D55A1A"/>
    <w:rsid w:val="00D565A3"/>
    <w:rsid w:val="00D5701D"/>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24E8"/>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26FC"/>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1CD"/>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72C"/>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CA7468"/>
    <w:pPr>
      <w:spacing w:beforeLines="50" w:before="50" w:afterLines="50" w:after="50" w:line="200" w:lineRule="exact"/>
      <w:ind w:leftChars="50" w:left="50" w:rightChars="50" w:right="50"/>
    </w:pPr>
    <w:rPr>
      <w:rFonts w:hAnsi="Source Han Sans CN"/>
    </w:rPr>
    <w:tblPr>
      <w:tblInd w:w="0" w:type="dxa"/>
      <w:tblBorders>
        <w:bottom w:val="single" w:sz="2" w:space="0" w:color="005160"/>
        <w:insideH w:val="single" w:sz="2" w:space="0" w:color="005160"/>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qFormat/>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Ind w:w="0" w:type="dxa"/>
      <w:tblBorders>
        <w:bottom w:val="single" w:sz="2" w:space="0" w:color="005160"/>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Ind w:w="0" w:type="dxa"/>
      <w:tblBorders>
        <w:top w:val="single" w:sz="2" w:space="0" w:color="005160"/>
        <w:bottom w:val="single" w:sz="2" w:space="0" w:color="005160"/>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Ind w:w="0" w:type="dxa"/>
      <w:tblCellMar>
        <w:top w:w="0" w:type="dxa"/>
        <w:left w:w="108" w:type="dxa"/>
        <w:bottom w:w="0" w:type="dxa"/>
        <w:right w:w="108" w:type="dxa"/>
      </w:tblCellMar>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 w:type="table" w:customStyle="1" w:styleId="1summarycommon">
    <w:name w:val="1summary_common"/>
    <w:basedOn w:val="a4"/>
    <w:uiPriority w:val="99"/>
    <w:rsid w:val="0044677C"/>
    <w:pPr>
      <w:spacing w:beforeLines="50" w:before="50" w:afterLines="50" w:after="50" w:line="200" w:lineRule="exact"/>
    </w:pPr>
    <w:rPr>
      <w:color w:val="404040" w:themeColor="text1" w:themeTint="BF"/>
    </w:rPr>
    <w:tblPr>
      <w:tblInd w:w="0" w:type="dxa"/>
      <w:tblBorders>
        <w:bottom w:val="single" w:sz="2" w:space="0" w:color="3E7C87"/>
        <w:insideH w:val="single" w:sz="2" w:space="0" w:color="3E7C87"/>
      </w:tblBorders>
      <w:tblCellMar>
        <w:top w:w="170" w:type="dxa"/>
        <w:left w:w="108" w:type="dxa"/>
        <w:bottom w:w="170" w:type="dxa"/>
        <w:right w:w="108"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3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5022-F174-7348-9CFA-5BEB0DAD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Pages>
  <Words>171</Words>
  <Characters>981</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95</cp:revision>
  <cp:lastPrinted>2020-07-13T03:01:00Z</cp:lastPrinted>
  <dcterms:created xsi:type="dcterms:W3CDTF">2020-07-20T03:46:00Z</dcterms:created>
  <dcterms:modified xsi:type="dcterms:W3CDTF">2020-08-10T09:20:00Z</dcterms:modified>
</cp:coreProperties>
</file>