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5D625" w14:textId="77777777" w:rsidR="00E80372" w:rsidRDefault="00E80372">
      <w:pPr>
        <w:widowControl/>
        <w:jc w:val="left"/>
        <w:rPr>
          <w:rFonts w:ascii="思源黑体" w:hAnsi="思源黑体"/>
          <w:color w:val="0C5161"/>
          <w:sz w:val="22"/>
        </w:rPr>
      </w:pPr>
      <w:r>
        <w:br w:type="page"/>
      </w:r>
    </w:p>
    <w:p w14:paraId="04A1EAD3" w14:textId="5AB55EE1" w:rsidR="00E20B2B" w:rsidRDefault="0083078C" w:rsidP="0083078C">
      <w:pPr>
        <w:pStyle w:val="020"/>
      </w:pPr>
      <w:r w:rsidRPr="0083078C">
        <w:rPr>
          <w:rFonts w:hint="eastAsia"/>
        </w:rPr>
        <w:lastRenderedPageBreak/>
        <w:t>肝胆肿瘤分子诊断临床应用专家共识（2020，中国）相关指标</w:t>
      </w:r>
    </w:p>
    <w:tbl>
      <w:tblPr>
        <w:tblStyle w:val="ad"/>
        <w:tblW w:w="0" w:type="auto"/>
        <w:tblLook w:val="04A0" w:firstRow="1" w:lastRow="0" w:firstColumn="1" w:lastColumn="0" w:noHBand="0" w:noVBand="1"/>
      </w:tblPr>
      <w:tblGrid>
        <w:gridCol w:w="1126"/>
        <w:gridCol w:w="7369"/>
        <w:gridCol w:w="1235"/>
      </w:tblGrid>
      <w:tr w:rsidR="00D860B5" w14:paraId="1E8FB1AA" w14:textId="77777777" w:rsidTr="00D860B5">
        <w:tc>
          <w:tcPr>
            <w:tcW w:w="1126" w:type="dxa"/>
            <w:vAlign w:val="center"/>
          </w:tcPr>
          <w:p w14:paraId="221DEDCB" w14:textId="3331480F" w:rsidR="0083078C" w:rsidRDefault="0083078C" w:rsidP="0083078C">
            <w:r w:rsidRPr="009658A2">
              <w:rPr>
                <w:rFonts w:ascii="思源黑体" w:hAnsi="思源黑体"/>
                <w:sz w:val="15"/>
                <w:szCs w:val="10"/>
              </w:rPr>
              <w:t>基因或标志物</w:t>
            </w:r>
          </w:p>
        </w:tc>
        <w:tc>
          <w:tcPr>
            <w:tcW w:w="7369" w:type="dxa"/>
            <w:vAlign w:val="center"/>
          </w:tcPr>
          <w:p w14:paraId="71383E5D" w14:textId="04A6389A" w:rsidR="0083078C" w:rsidRDefault="0083078C" w:rsidP="0083078C">
            <w:r w:rsidRPr="009658A2">
              <w:rPr>
                <w:rFonts w:ascii="思源黑体" w:hAnsi="思源黑体"/>
                <w:sz w:val="15"/>
                <w:szCs w:val="10"/>
              </w:rPr>
              <w:t>检测意义</w:t>
            </w:r>
          </w:p>
        </w:tc>
        <w:tc>
          <w:tcPr>
            <w:tcW w:w="1235" w:type="dxa"/>
            <w:vAlign w:val="center"/>
          </w:tcPr>
          <w:p w14:paraId="15BD69C7" w14:textId="77D6148E" w:rsidR="0083078C" w:rsidRDefault="0083078C" w:rsidP="0083078C">
            <w:r w:rsidRPr="009658A2">
              <w:rPr>
                <w:rFonts w:ascii="思源黑体" w:hAnsi="思源黑体"/>
                <w:sz w:val="15"/>
                <w:szCs w:val="10"/>
              </w:rPr>
              <w:t>检测结果</w:t>
            </w:r>
          </w:p>
        </w:tc>
      </w:tr>
      <w:tr w:rsidR="0083078C" w14:paraId="76416279" w14:textId="77777777" w:rsidTr="0083078C">
        <w:tc>
          <w:tcPr>
            <w:tcW w:w="9730" w:type="dxa"/>
            <w:gridSpan w:val="3"/>
            <w:shd w:val="clear" w:color="auto" w:fill="F2F2F2" w:themeFill="background1" w:themeFillShade="F2"/>
            <w:vAlign w:val="center"/>
          </w:tcPr>
          <w:p w14:paraId="58314C1A" w14:textId="504A119F" w:rsidR="0083078C" w:rsidRPr="0083078C" w:rsidRDefault="0083078C" w:rsidP="0083078C">
            <w:pPr>
              <w:rPr>
                <w:b/>
              </w:rPr>
            </w:pPr>
            <w:r w:rsidRPr="0083078C">
              <w:rPr>
                <w:rFonts w:ascii="思源黑体" w:hAnsi="思源黑体"/>
                <w:b/>
                <w:sz w:val="15"/>
                <w:szCs w:val="10"/>
              </w:rPr>
              <w:t>靶向治疗相关的分子标志物</w:t>
            </w:r>
          </w:p>
        </w:tc>
      </w:tr>
      <w:tr w:rsidR="00D860B5" w14:paraId="35E7CB80" w14:textId="77777777" w:rsidTr="00D860B5">
        <w:tc>
          <w:tcPr>
            <w:tcW w:w="1126" w:type="dxa"/>
            <w:vAlign w:val="center"/>
          </w:tcPr>
          <w:p w14:paraId="456BC4C7" w14:textId="19D7FA9A" w:rsidR="0083078C" w:rsidRPr="001A341E" w:rsidRDefault="0083078C" w:rsidP="0083078C">
            <w:pPr>
              <w:rPr>
                <w:sz w:val="14"/>
                <w:szCs w:val="14"/>
              </w:rPr>
            </w:pPr>
            <w:r w:rsidRPr="001A341E">
              <w:rPr>
                <w:rFonts w:ascii="思源黑体" w:hAnsi="思源黑体"/>
                <w:sz w:val="14"/>
                <w:szCs w:val="14"/>
              </w:rPr>
              <w:t>VEGFA</w:t>
            </w:r>
          </w:p>
        </w:tc>
        <w:tc>
          <w:tcPr>
            <w:tcW w:w="7369" w:type="dxa"/>
            <w:vAlign w:val="center"/>
          </w:tcPr>
          <w:p w14:paraId="5268D3D8" w14:textId="0DB5AB42" w:rsidR="0083078C" w:rsidRPr="001A341E" w:rsidRDefault="0083078C" w:rsidP="0083078C">
            <w:pPr>
              <w:rPr>
                <w:sz w:val="14"/>
                <w:szCs w:val="14"/>
              </w:rPr>
            </w:pPr>
            <w:r w:rsidRPr="001A341E">
              <w:rPr>
                <w:rFonts w:ascii="思源黑体" w:hAnsi="思源黑体"/>
                <w:sz w:val="14"/>
                <w:szCs w:val="14"/>
              </w:rPr>
              <w:t>VEGFA基因属于PDGF/VEGF生长因子家族。它编码一种肝素结合蛋白，并能诱导血管内皮细胞的增殖和迁移，是生理和病理状态下血管生成所必须。基于FISH结果估计，肝细胞癌患者中VEGFA扩增率为7%~11%，高VEGFA血浆水平与较差的生存期相关。一项回顾性临床研究提示，携带VEGFA基因扩增的晚期肝细胞癌患者，对索拉非尼治疗有较好的反应性。</w:t>
            </w:r>
          </w:p>
        </w:tc>
        <w:tc>
          <w:tcPr>
            <w:tcW w:w="1235" w:type="dxa"/>
            <w:vAlign w:val="center"/>
          </w:tcPr>
          <w:p w14:paraId="1A93DF3C" w14:textId="764FB7C5" w:rsidR="0083078C" w:rsidRPr="001A341E" w:rsidRDefault="0083078C" w:rsidP="0083078C">
            <w:pPr>
              <w:rPr>
                <w:sz w:val="14"/>
                <w:szCs w:val="14"/>
              </w:rPr>
            </w:pPr>
          </w:p>
        </w:tc>
      </w:tr>
      <w:tr w:rsidR="00D860B5" w14:paraId="1E8B723D" w14:textId="77777777" w:rsidTr="00D860B5">
        <w:tc>
          <w:tcPr>
            <w:tcW w:w="1126" w:type="dxa"/>
            <w:vAlign w:val="center"/>
          </w:tcPr>
          <w:p w14:paraId="1876CB03" w14:textId="44B930A6" w:rsidR="0083078C" w:rsidRPr="001A341E" w:rsidRDefault="0083078C" w:rsidP="0083078C">
            <w:pPr>
              <w:rPr>
                <w:sz w:val="14"/>
                <w:szCs w:val="14"/>
              </w:rPr>
            </w:pPr>
            <w:r w:rsidRPr="001A341E">
              <w:rPr>
                <w:rFonts w:ascii="思源黑体" w:hAnsi="思源黑体"/>
                <w:sz w:val="14"/>
                <w:szCs w:val="14"/>
              </w:rPr>
              <w:t>KRAS</w:t>
            </w:r>
          </w:p>
        </w:tc>
        <w:tc>
          <w:tcPr>
            <w:tcW w:w="7369" w:type="dxa"/>
            <w:vMerge w:val="restart"/>
            <w:vAlign w:val="center"/>
          </w:tcPr>
          <w:p w14:paraId="2056FFF1" w14:textId="0F8C2AF9" w:rsidR="0083078C" w:rsidRPr="001A341E" w:rsidRDefault="0083078C" w:rsidP="0083078C">
            <w:pPr>
              <w:rPr>
                <w:sz w:val="14"/>
                <w:szCs w:val="14"/>
              </w:rPr>
            </w:pPr>
            <w:r w:rsidRPr="001A341E">
              <w:rPr>
                <w:rFonts w:ascii="思源黑体" w:hAnsi="思源黑体"/>
                <w:sz w:val="14"/>
                <w:szCs w:val="14"/>
              </w:rPr>
              <w:t>携带RAS基因突变的肝细胞癌患者与RAS野生型相比，对索拉非尼与</w:t>
            </w:r>
            <w:proofErr w:type="spellStart"/>
            <w:r w:rsidRPr="001A341E">
              <w:rPr>
                <w:rFonts w:ascii="思源黑体" w:hAnsi="思源黑体"/>
                <w:sz w:val="14"/>
                <w:szCs w:val="14"/>
              </w:rPr>
              <w:t>Refametinib</w:t>
            </w:r>
            <w:proofErr w:type="spellEnd"/>
            <w:r w:rsidRPr="001A341E">
              <w:rPr>
                <w:rFonts w:ascii="思源黑体" w:hAnsi="思源黑体"/>
                <w:sz w:val="14"/>
                <w:szCs w:val="14"/>
              </w:rPr>
              <w:t>联合治疗有更好的临床反应性。</w:t>
            </w:r>
          </w:p>
        </w:tc>
        <w:tc>
          <w:tcPr>
            <w:tcW w:w="1235" w:type="dxa"/>
            <w:vAlign w:val="center"/>
          </w:tcPr>
          <w:p w14:paraId="44A58FD3" w14:textId="6B49FB99" w:rsidR="0083078C" w:rsidRPr="001A341E" w:rsidRDefault="0083078C" w:rsidP="0083078C">
            <w:pPr>
              <w:rPr>
                <w:sz w:val="14"/>
                <w:szCs w:val="14"/>
              </w:rPr>
            </w:pPr>
          </w:p>
        </w:tc>
      </w:tr>
      <w:tr w:rsidR="00D860B5" w14:paraId="7BB279C5" w14:textId="77777777" w:rsidTr="00D860B5">
        <w:tc>
          <w:tcPr>
            <w:tcW w:w="1126" w:type="dxa"/>
            <w:vAlign w:val="center"/>
          </w:tcPr>
          <w:p w14:paraId="66AA46CE" w14:textId="6DA081B8" w:rsidR="0083078C" w:rsidRPr="001A341E" w:rsidRDefault="0083078C" w:rsidP="0083078C">
            <w:pPr>
              <w:rPr>
                <w:sz w:val="14"/>
                <w:szCs w:val="14"/>
              </w:rPr>
            </w:pPr>
            <w:r w:rsidRPr="001A341E">
              <w:rPr>
                <w:rFonts w:ascii="思源黑体" w:hAnsi="思源黑体"/>
                <w:sz w:val="14"/>
                <w:szCs w:val="14"/>
              </w:rPr>
              <w:t>NRAS</w:t>
            </w:r>
          </w:p>
        </w:tc>
        <w:tc>
          <w:tcPr>
            <w:tcW w:w="7369" w:type="dxa"/>
            <w:vMerge/>
            <w:vAlign w:val="center"/>
          </w:tcPr>
          <w:p w14:paraId="2D6B32F7" w14:textId="77777777" w:rsidR="0083078C" w:rsidRPr="001A341E" w:rsidRDefault="0083078C" w:rsidP="0083078C">
            <w:pPr>
              <w:rPr>
                <w:sz w:val="14"/>
                <w:szCs w:val="14"/>
              </w:rPr>
            </w:pPr>
          </w:p>
        </w:tc>
        <w:tc>
          <w:tcPr>
            <w:tcW w:w="1235" w:type="dxa"/>
            <w:vAlign w:val="center"/>
          </w:tcPr>
          <w:p w14:paraId="048EF750" w14:textId="10460051" w:rsidR="0083078C" w:rsidRPr="001A341E" w:rsidRDefault="0083078C" w:rsidP="0083078C">
            <w:pPr>
              <w:rPr>
                <w:sz w:val="14"/>
                <w:szCs w:val="14"/>
              </w:rPr>
            </w:pPr>
          </w:p>
        </w:tc>
      </w:tr>
      <w:tr w:rsidR="00D860B5" w14:paraId="77E2789E" w14:textId="77777777" w:rsidTr="00D860B5">
        <w:trPr>
          <w:trHeight w:val="353"/>
        </w:trPr>
        <w:tc>
          <w:tcPr>
            <w:tcW w:w="1126" w:type="dxa"/>
            <w:vAlign w:val="center"/>
          </w:tcPr>
          <w:p w14:paraId="08F6863D" w14:textId="4EC0DB0A" w:rsidR="0083078C" w:rsidRPr="001A341E" w:rsidRDefault="0083078C" w:rsidP="0083078C">
            <w:pPr>
              <w:rPr>
                <w:sz w:val="14"/>
                <w:szCs w:val="14"/>
              </w:rPr>
            </w:pPr>
            <w:r w:rsidRPr="001A341E">
              <w:rPr>
                <w:rFonts w:ascii="思源黑体" w:hAnsi="思源黑体"/>
                <w:sz w:val="14"/>
                <w:szCs w:val="14"/>
              </w:rPr>
              <w:t>HRAS</w:t>
            </w:r>
          </w:p>
        </w:tc>
        <w:tc>
          <w:tcPr>
            <w:tcW w:w="7369" w:type="dxa"/>
            <w:vMerge/>
            <w:vAlign w:val="center"/>
          </w:tcPr>
          <w:p w14:paraId="74887573" w14:textId="77777777" w:rsidR="0083078C" w:rsidRPr="001A341E" w:rsidRDefault="0083078C" w:rsidP="0083078C">
            <w:pPr>
              <w:rPr>
                <w:sz w:val="14"/>
                <w:szCs w:val="14"/>
              </w:rPr>
            </w:pPr>
          </w:p>
        </w:tc>
        <w:tc>
          <w:tcPr>
            <w:tcW w:w="1235" w:type="dxa"/>
            <w:vAlign w:val="center"/>
          </w:tcPr>
          <w:p w14:paraId="320EABD2" w14:textId="6886CDE8" w:rsidR="0083078C" w:rsidRPr="001A341E" w:rsidRDefault="0083078C" w:rsidP="0083078C">
            <w:pPr>
              <w:rPr>
                <w:sz w:val="14"/>
                <w:szCs w:val="14"/>
              </w:rPr>
            </w:pPr>
          </w:p>
        </w:tc>
      </w:tr>
      <w:tr w:rsidR="00D860B5" w14:paraId="5BB7E652" w14:textId="77777777" w:rsidTr="00D860B5">
        <w:tc>
          <w:tcPr>
            <w:tcW w:w="1126" w:type="dxa"/>
            <w:vAlign w:val="center"/>
          </w:tcPr>
          <w:p w14:paraId="463A43BA" w14:textId="2C24E173" w:rsidR="0083078C" w:rsidRPr="001A341E" w:rsidRDefault="0083078C" w:rsidP="0083078C">
            <w:pPr>
              <w:rPr>
                <w:sz w:val="14"/>
                <w:szCs w:val="14"/>
              </w:rPr>
            </w:pPr>
            <w:r w:rsidRPr="001A341E">
              <w:rPr>
                <w:rFonts w:ascii="思源黑体" w:hAnsi="思源黑体"/>
                <w:sz w:val="14"/>
                <w:szCs w:val="14"/>
              </w:rPr>
              <w:t>MET</w:t>
            </w:r>
          </w:p>
        </w:tc>
        <w:tc>
          <w:tcPr>
            <w:tcW w:w="7369" w:type="dxa"/>
            <w:vAlign w:val="center"/>
          </w:tcPr>
          <w:p w14:paraId="44451A00" w14:textId="1DE9CBCD" w:rsidR="0083078C" w:rsidRPr="001A341E" w:rsidRDefault="0083078C" w:rsidP="0083078C">
            <w:pPr>
              <w:rPr>
                <w:sz w:val="14"/>
                <w:szCs w:val="14"/>
              </w:rPr>
            </w:pPr>
            <w:r w:rsidRPr="001A341E">
              <w:rPr>
                <w:rFonts w:ascii="思源黑体" w:hAnsi="思源黑体"/>
                <w:sz w:val="14"/>
                <w:szCs w:val="14"/>
              </w:rPr>
              <w:t>在多种恶性肿瘤中，MET基因的突变或者扩增，会持续激活c-MET信号，使细胞增殖失控并促进肿瘤转移。MET突变在肝细胞癌种的发生频率约为1.89%；在胆管癌（CCA）中的突变频率约为1.44%。肝细胞癌患者的肿瘤组织中c-MET表达水平较高，并与索拉非尼的耐药相关；高表达c-MET的肝细胞癌细胞中，卡博替尼能够高效抑制MET活性，抑制血管生成、细胞增殖、细胞迁移和侵袭，促进细胞凋亡。</w:t>
            </w:r>
          </w:p>
        </w:tc>
        <w:tc>
          <w:tcPr>
            <w:tcW w:w="1235" w:type="dxa"/>
            <w:vAlign w:val="center"/>
          </w:tcPr>
          <w:p w14:paraId="2A034D44" w14:textId="74401820" w:rsidR="0083078C" w:rsidRPr="001A341E" w:rsidRDefault="0083078C" w:rsidP="0085038C">
            <w:pPr>
              <w:rPr>
                <w:sz w:val="14"/>
                <w:szCs w:val="14"/>
              </w:rPr>
            </w:pPr>
          </w:p>
        </w:tc>
      </w:tr>
      <w:tr w:rsidR="00D860B5" w14:paraId="30D40645" w14:textId="77777777" w:rsidTr="00D860B5">
        <w:tc>
          <w:tcPr>
            <w:tcW w:w="1126" w:type="dxa"/>
            <w:vAlign w:val="center"/>
          </w:tcPr>
          <w:p w14:paraId="390BAF9B" w14:textId="79C3ECE0" w:rsidR="0083078C" w:rsidRPr="001A341E" w:rsidRDefault="0083078C" w:rsidP="0083078C">
            <w:pPr>
              <w:rPr>
                <w:sz w:val="14"/>
                <w:szCs w:val="14"/>
              </w:rPr>
            </w:pPr>
            <w:r w:rsidRPr="001A341E">
              <w:rPr>
                <w:rFonts w:ascii="思源黑体" w:hAnsi="思源黑体"/>
                <w:sz w:val="14"/>
                <w:szCs w:val="14"/>
              </w:rPr>
              <w:t>TP53</w:t>
            </w:r>
          </w:p>
        </w:tc>
        <w:tc>
          <w:tcPr>
            <w:tcW w:w="7369" w:type="dxa"/>
            <w:vMerge w:val="restart"/>
            <w:vAlign w:val="center"/>
          </w:tcPr>
          <w:p w14:paraId="105CA2A8" w14:textId="6C63463B" w:rsidR="0083078C" w:rsidRPr="001A341E" w:rsidRDefault="0083078C" w:rsidP="0083078C">
            <w:pPr>
              <w:rPr>
                <w:sz w:val="14"/>
                <w:szCs w:val="14"/>
              </w:rPr>
            </w:pPr>
            <w:r w:rsidRPr="001A341E">
              <w:rPr>
                <w:rFonts w:ascii="思源黑体" w:hAnsi="思源黑体"/>
                <w:sz w:val="14"/>
                <w:szCs w:val="14"/>
              </w:rPr>
              <w:t>晚期肝细胞癌患者肿瘤组织中可检测到TP53（35%）和WNT/β-catenin信号通路突变（45%），并且表现为相互独立的分子亚型。TP53在早期复发与无早期复发患者存在差异（P=0.057）。WNK2，RUNX1T1、CTNNB1、TSC1与肝细胞癌患者根治性切除术后早期肿瘤复发相关。目前国内外尚无批准靶向TP53基因的抗肿瘤药物，但WEE1抑制剂AZD1775在TP53突变的实体瘤患者中正在开展临床试验。</w:t>
            </w:r>
          </w:p>
        </w:tc>
        <w:tc>
          <w:tcPr>
            <w:tcW w:w="1235" w:type="dxa"/>
            <w:vAlign w:val="center"/>
          </w:tcPr>
          <w:p w14:paraId="4CD8B63C" w14:textId="1CB3305E" w:rsidR="0083078C" w:rsidRPr="001A341E" w:rsidRDefault="0083078C" w:rsidP="0083078C">
            <w:pPr>
              <w:rPr>
                <w:sz w:val="14"/>
                <w:szCs w:val="14"/>
              </w:rPr>
            </w:pPr>
          </w:p>
        </w:tc>
      </w:tr>
      <w:tr w:rsidR="00D860B5" w14:paraId="528F31B0" w14:textId="77777777" w:rsidTr="00D860B5">
        <w:tc>
          <w:tcPr>
            <w:tcW w:w="1126" w:type="dxa"/>
            <w:vAlign w:val="center"/>
          </w:tcPr>
          <w:p w14:paraId="5101632D" w14:textId="4E8D10BD" w:rsidR="0083078C" w:rsidRPr="001A341E" w:rsidRDefault="0083078C" w:rsidP="0083078C">
            <w:pPr>
              <w:rPr>
                <w:sz w:val="14"/>
                <w:szCs w:val="14"/>
              </w:rPr>
            </w:pPr>
            <w:r w:rsidRPr="001A341E">
              <w:rPr>
                <w:rFonts w:ascii="思源黑体" w:hAnsi="思源黑体"/>
                <w:sz w:val="14"/>
                <w:szCs w:val="14"/>
              </w:rPr>
              <w:t>WNK2</w:t>
            </w:r>
          </w:p>
        </w:tc>
        <w:tc>
          <w:tcPr>
            <w:tcW w:w="7369" w:type="dxa"/>
            <w:vMerge/>
            <w:vAlign w:val="center"/>
          </w:tcPr>
          <w:p w14:paraId="3D469495" w14:textId="77777777" w:rsidR="0083078C" w:rsidRPr="001A341E" w:rsidRDefault="0083078C" w:rsidP="0083078C">
            <w:pPr>
              <w:rPr>
                <w:sz w:val="14"/>
                <w:szCs w:val="14"/>
              </w:rPr>
            </w:pPr>
          </w:p>
        </w:tc>
        <w:tc>
          <w:tcPr>
            <w:tcW w:w="1235" w:type="dxa"/>
            <w:vAlign w:val="center"/>
          </w:tcPr>
          <w:p w14:paraId="57BEECCC" w14:textId="21534DC8" w:rsidR="0083078C" w:rsidRPr="001A341E" w:rsidRDefault="0083078C" w:rsidP="0083078C">
            <w:pPr>
              <w:rPr>
                <w:sz w:val="14"/>
                <w:szCs w:val="14"/>
              </w:rPr>
            </w:pPr>
          </w:p>
        </w:tc>
      </w:tr>
      <w:tr w:rsidR="00D860B5" w14:paraId="3DD40F0E" w14:textId="77777777" w:rsidTr="00D860B5">
        <w:tc>
          <w:tcPr>
            <w:tcW w:w="1126" w:type="dxa"/>
            <w:vAlign w:val="center"/>
          </w:tcPr>
          <w:p w14:paraId="5A721623" w14:textId="561D7875" w:rsidR="0083078C" w:rsidRPr="001A341E" w:rsidRDefault="0083078C" w:rsidP="0083078C">
            <w:pPr>
              <w:rPr>
                <w:sz w:val="14"/>
                <w:szCs w:val="14"/>
              </w:rPr>
            </w:pPr>
            <w:r w:rsidRPr="001A341E">
              <w:rPr>
                <w:rFonts w:ascii="思源黑体" w:hAnsi="思源黑体"/>
                <w:sz w:val="14"/>
                <w:szCs w:val="14"/>
              </w:rPr>
              <w:t>RUNX1T1</w:t>
            </w:r>
          </w:p>
        </w:tc>
        <w:tc>
          <w:tcPr>
            <w:tcW w:w="7369" w:type="dxa"/>
            <w:vMerge/>
            <w:vAlign w:val="center"/>
          </w:tcPr>
          <w:p w14:paraId="65C81773" w14:textId="77777777" w:rsidR="0083078C" w:rsidRPr="001A341E" w:rsidRDefault="0083078C" w:rsidP="0083078C">
            <w:pPr>
              <w:rPr>
                <w:sz w:val="14"/>
                <w:szCs w:val="14"/>
              </w:rPr>
            </w:pPr>
          </w:p>
        </w:tc>
        <w:tc>
          <w:tcPr>
            <w:tcW w:w="1235" w:type="dxa"/>
            <w:vAlign w:val="center"/>
          </w:tcPr>
          <w:p w14:paraId="483895B5" w14:textId="13DBBE03" w:rsidR="0083078C" w:rsidRPr="001A341E" w:rsidRDefault="0083078C" w:rsidP="0083078C">
            <w:pPr>
              <w:rPr>
                <w:sz w:val="14"/>
                <w:szCs w:val="14"/>
              </w:rPr>
            </w:pPr>
          </w:p>
        </w:tc>
      </w:tr>
      <w:tr w:rsidR="00D860B5" w14:paraId="536F9E1D" w14:textId="77777777" w:rsidTr="00D860B5">
        <w:tc>
          <w:tcPr>
            <w:tcW w:w="1126" w:type="dxa"/>
            <w:vAlign w:val="center"/>
          </w:tcPr>
          <w:p w14:paraId="0B525ECF" w14:textId="5F8766D6" w:rsidR="0083078C" w:rsidRPr="001A341E" w:rsidRDefault="0083078C" w:rsidP="0083078C">
            <w:pPr>
              <w:rPr>
                <w:sz w:val="14"/>
                <w:szCs w:val="14"/>
              </w:rPr>
            </w:pPr>
            <w:r w:rsidRPr="001A341E">
              <w:rPr>
                <w:rFonts w:ascii="思源黑体" w:hAnsi="思源黑体"/>
                <w:sz w:val="14"/>
                <w:szCs w:val="14"/>
              </w:rPr>
              <w:t>CTNNB1</w:t>
            </w:r>
          </w:p>
        </w:tc>
        <w:tc>
          <w:tcPr>
            <w:tcW w:w="7369" w:type="dxa"/>
            <w:vMerge/>
            <w:vAlign w:val="center"/>
          </w:tcPr>
          <w:p w14:paraId="720BF30D" w14:textId="77777777" w:rsidR="0083078C" w:rsidRPr="001A341E" w:rsidRDefault="0083078C" w:rsidP="0083078C">
            <w:pPr>
              <w:rPr>
                <w:sz w:val="14"/>
                <w:szCs w:val="14"/>
              </w:rPr>
            </w:pPr>
          </w:p>
        </w:tc>
        <w:tc>
          <w:tcPr>
            <w:tcW w:w="1235" w:type="dxa"/>
            <w:vAlign w:val="center"/>
          </w:tcPr>
          <w:p w14:paraId="4F784158" w14:textId="70153016" w:rsidR="0083078C" w:rsidRPr="001A341E" w:rsidRDefault="0083078C" w:rsidP="0083078C">
            <w:pPr>
              <w:rPr>
                <w:sz w:val="14"/>
                <w:szCs w:val="14"/>
              </w:rPr>
            </w:pPr>
          </w:p>
        </w:tc>
      </w:tr>
      <w:tr w:rsidR="00D860B5" w14:paraId="531A0FC3" w14:textId="77777777" w:rsidTr="00D860B5">
        <w:tc>
          <w:tcPr>
            <w:tcW w:w="1126" w:type="dxa"/>
            <w:vAlign w:val="center"/>
          </w:tcPr>
          <w:p w14:paraId="7C11B3DF" w14:textId="38FBE365" w:rsidR="0083078C" w:rsidRPr="001A341E" w:rsidRDefault="0083078C" w:rsidP="0083078C">
            <w:pPr>
              <w:rPr>
                <w:sz w:val="14"/>
                <w:szCs w:val="14"/>
              </w:rPr>
            </w:pPr>
            <w:r w:rsidRPr="001A341E">
              <w:rPr>
                <w:rFonts w:ascii="思源黑体" w:hAnsi="思源黑体"/>
                <w:sz w:val="14"/>
                <w:szCs w:val="14"/>
              </w:rPr>
              <w:t>TSC1</w:t>
            </w:r>
          </w:p>
        </w:tc>
        <w:tc>
          <w:tcPr>
            <w:tcW w:w="7369" w:type="dxa"/>
            <w:vMerge/>
            <w:vAlign w:val="center"/>
          </w:tcPr>
          <w:p w14:paraId="4E2E5D15" w14:textId="77777777" w:rsidR="0083078C" w:rsidRPr="001A341E" w:rsidRDefault="0083078C" w:rsidP="0083078C">
            <w:pPr>
              <w:rPr>
                <w:sz w:val="14"/>
                <w:szCs w:val="14"/>
              </w:rPr>
            </w:pPr>
          </w:p>
        </w:tc>
        <w:tc>
          <w:tcPr>
            <w:tcW w:w="1235" w:type="dxa"/>
            <w:vAlign w:val="center"/>
          </w:tcPr>
          <w:p w14:paraId="63B5DE32" w14:textId="77E2A244" w:rsidR="0083078C" w:rsidRPr="001A341E" w:rsidRDefault="0083078C" w:rsidP="0083078C">
            <w:pPr>
              <w:rPr>
                <w:sz w:val="14"/>
                <w:szCs w:val="14"/>
              </w:rPr>
            </w:pPr>
          </w:p>
        </w:tc>
      </w:tr>
      <w:tr w:rsidR="00D860B5" w14:paraId="694676F7" w14:textId="77777777" w:rsidTr="00D860B5">
        <w:tc>
          <w:tcPr>
            <w:tcW w:w="1126" w:type="dxa"/>
            <w:vAlign w:val="center"/>
          </w:tcPr>
          <w:p w14:paraId="29DB7F63" w14:textId="2A723836" w:rsidR="0083078C" w:rsidRPr="001A341E" w:rsidRDefault="0083078C" w:rsidP="0083078C">
            <w:pPr>
              <w:rPr>
                <w:sz w:val="14"/>
                <w:szCs w:val="14"/>
              </w:rPr>
            </w:pPr>
            <w:r w:rsidRPr="001A341E">
              <w:rPr>
                <w:rFonts w:ascii="思源黑体" w:hAnsi="思源黑体"/>
                <w:sz w:val="14"/>
                <w:szCs w:val="14"/>
              </w:rPr>
              <w:t>FGF19</w:t>
            </w:r>
          </w:p>
        </w:tc>
        <w:tc>
          <w:tcPr>
            <w:tcW w:w="7369" w:type="dxa"/>
            <w:vAlign w:val="center"/>
          </w:tcPr>
          <w:p w14:paraId="64B2C0BF" w14:textId="7AE34A21" w:rsidR="0083078C" w:rsidRPr="001A341E" w:rsidRDefault="0083078C" w:rsidP="0083078C">
            <w:pPr>
              <w:rPr>
                <w:sz w:val="14"/>
                <w:szCs w:val="14"/>
              </w:rPr>
            </w:pPr>
            <w:r w:rsidRPr="001A341E">
              <w:rPr>
                <w:rFonts w:ascii="思源黑体" w:hAnsi="思源黑体"/>
                <w:sz w:val="14"/>
                <w:szCs w:val="14"/>
              </w:rPr>
              <w:t>5%~14%的肝细胞癌中存在FGF19、CCND1异常，且其高表达水平和患者不良预后相关。CCND1与FGF19共享基因组基因座，常在癌症中扩增。2019 ASCO报道，高选择性的共价FGFR4抑制剂（H3B-6527）对于肝细胞癌的治疗耐受性良好，可使FGF19信号传导发生变异的肝细胞癌/肝内胆管癌（ICC）患者获益。</w:t>
            </w:r>
          </w:p>
        </w:tc>
        <w:tc>
          <w:tcPr>
            <w:tcW w:w="1235" w:type="dxa"/>
            <w:vAlign w:val="center"/>
          </w:tcPr>
          <w:p w14:paraId="389939AD" w14:textId="4C7808A8" w:rsidR="0083078C" w:rsidRPr="001A341E" w:rsidRDefault="0083078C" w:rsidP="0083078C">
            <w:pPr>
              <w:rPr>
                <w:sz w:val="14"/>
                <w:szCs w:val="14"/>
              </w:rPr>
            </w:pPr>
          </w:p>
        </w:tc>
      </w:tr>
      <w:tr w:rsidR="00D860B5" w14:paraId="1B0E1924" w14:textId="77777777" w:rsidTr="00D860B5">
        <w:tc>
          <w:tcPr>
            <w:tcW w:w="1126" w:type="dxa"/>
            <w:vAlign w:val="center"/>
          </w:tcPr>
          <w:p w14:paraId="4F4EC8C2" w14:textId="174953D5" w:rsidR="0083078C" w:rsidRPr="001A341E" w:rsidRDefault="0083078C" w:rsidP="0083078C">
            <w:pPr>
              <w:rPr>
                <w:sz w:val="14"/>
                <w:szCs w:val="14"/>
              </w:rPr>
            </w:pPr>
            <w:r w:rsidRPr="001A341E">
              <w:rPr>
                <w:rFonts w:ascii="思源黑体" w:hAnsi="思源黑体"/>
                <w:sz w:val="14"/>
                <w:szCs w:val="14"/>
              </w:rPr>
              <w:t>IDH1</w:t>
            </w:r>
          </w:p>
        </w:tc>
        <w:tc>
          <w:tcPr>
            <w:tcW w:w="7369" w:type="dxa"/>
            <w:vMerge w:val="restart"/>
            <w:vAlign w:val="center"/>
          </w:tcPr>
          <w:p w14:paraId="1C788AF4" w14:textId="7321C4A7" w:rsidR="0083078C" w:rsidRPr="001A341E" w:rsidRDefault="0083078C" w:rsidP="0083078C">
            <w:pPr>
              <w:rPr>
                <w:sz w:val="14"/>
                <w:szCs w:val="14"/>
              </w:rPr>
            </w:pPr>
            <w:r w:rsidRPr="001A341E">
              <w:rPr>
                <w:rFonts w:ascii="思源黑体" w:hAnsi="思源黑体"/>
                <w:sz w:val="14"/>
                <w:szCs w:val="14"/>
              </w:rPr>
              <w:t>IDH基因突变见于胶质瘤、急性髓细胞性白血病、ICC的多种癌症。IDH1/IDH2突变在ICC中的出现频率约为10%~23%。IDH基因突变与ICC患者预后显著相关，突变型患者3年存活率为33%，而野生型患者3年存活率为81%。2019 ESMO报道，IDH抑制剂</w:t>
            </w:r>
            <w:proofErr w:type="spellStart"/>
            <w:r w:rsidRPr="001A341E">
              <w:rPr>
                <w:rFonts w:ascii="思源黑体" w:hAnsi="思源黑体"/>
                <w:sz w:val="14"/>
                <w:szCs w:val="14"/>
              </w:rPr>
              <w:t>Ivosidenib</w:t>
            </w:r>
            <w:proofErr w:type="spellEnd"/>
            <w:r w:rsidRPr="001A341E">
              <w:rPr>
                <w:rFonts w:ascii="思源黑体" w:hAnsi="思源黑体"/>
                <w:sz w:val="14"/>
                <w:szCs w:val="14"/>
              </w:rPr>
              <w:t>治疗CCA的III期临床试验结果显示，与安慰剂相比，</w:t>
            </w:r>
            <w:proofErr w:type="spellStart"/>
            <w:r w:rsidRPr="001A341E">
              <w:rPr>
                <w:rFonts w:ascii="思源黑体" w:hAnsi="思源黑体"/>
                <w:sz w:val="14"/>
                <w:szCs w:val="14"/>
              </w:rPr>
              <w:t>Ivosidenib</w:t>
            </w:r>
            <w:proofErr w:type="spellEnd"/>
            <w:r w:rsidRPr="001A341E">
              <w:rPr>
                <w:rFonts w:ascii="思源黑体" w:hAnsi="思源黑体"/>
                <w:sz w:val="14"/>
                <w:szCs w:val="14"/>
              </w:rPr>
              <w:t>显著改善晚期IDH1突变的CCA患者的无进展生存期，总生存期也有获益。</w:t>
            </w:r>
          </w:p>
        </w:tc>
        <w:tc>
          <w:tcPr>
            <w:tcW w:w="1235" w:type="dxa"/>
            <w:vAlign w:val="center"/>
          </w:tcPr>
          <w:p w14:paraId="57776943" w14:textId="33F0FBE9" w:rsidR="0083078C" w:rsidRPr="001A341E" w:rsidRDefault="0083078C" w:rsidP="0083078C">
            <w:pPr>
              <w:rPr>
                <w:sz w:val="14"/>
                <w:szCs w:val="14"/>
              </w:rPr>
            </w:pPr>
          </w:p>
        </w:tc>
      </w:tr>
      <w:tr w:rsidR="00D860B5" w14:paraId="6D0E80EC" w14:textId="77777777" w:rsidTr="00D860B5">
        <w:tc>
          <w:tcPr>
            <w:tcW w:w="1126" w:type="dxa"/>
            <w:vAlign w:val="center"/>
          </w:tcPr>
          <w:p w14:paraId="06E73FD7" w14:textId="2B69F6B9" w:rsidR="0083078C" w:rsidRPr="001A341E" w:rsidRDefault="0083078C" w:rsidP="0083078C">
            <w:pPr>
              <w:rPr>
                <w:sz w:val="14"/>
                <w:szCs w:val="14"/>
              </w:rPr>
            </w:pPr>
            <w:r w:rsidRPr="001A341E">
              <w:rPr>
                <w:rFonts w:ascii="思源黑体" w:hAnsi="思源黑体"/>
                <w:sz w:val="14"/>
                <w:szCs w:val="14"/>
              </w:rPr>
              <w:t>IDH2</w:t>
            </w:r>
          </w:p>
        </w:tc>
        <w:tc>
          <w:tcPr>
            <w:tcW w:w="7369" w:type="dxa"/>
            <w:vMerge/>
            <w:vAlign w:val="center"/>
          </w:tcPr>
          <w:p w14:paraId="7088D2B3" w14:textId="77777777" w:rsidR="0083078C" w:rsidRPr="001A341E" w:rsidRDefault="0083078C" w:rsidP="0083078C">
            <w:pPr>
              <w:rPr>
                <w:sz w:val="14"/>
                <w:szCs w:val="14"/>
              </w:rPr>
            </w:pPr>
          </w:p>
        </w:tc>
        <w:tc>
          <w:tcPr>
            <w:tcW w:w="1235" w:type="dxa"/>
            <w:vAlign w:val="center"/>
          </w:tcPr>
          <w:p w14:paraId="4C0814B0" w14:textId="3EFCDC2E" w:rsidR="0083078C" w:rsidRPr="001A341E" w:rsidRDefault="0083078C" w:rsidP="0083078C">
            <w:pPr>
              <w:rPr>
                <w:sz w:val="14"/>
                <w:szCs w:val="14"/>
              </w:rPr>
            </w:pPr>
          </w:p>
        </w:tc>
      </w:tr>
      <w:tr w:rsidR="00D860B5" w14:paraId="588764CF" w14:textId="77777777" w:rsidTr="00D860B5">
        <w:tc>
          <w:tcPr>
            <w:tcW w:w="1126" w:type="dxa"/>
            <w:vAlign w:val="center"/>
          </w:tcPr>
          <w:p w14:paraId="6074C788" w14:textId="58E4313D" w:rsidR="0083078C" w:rsidRPr="001A341E" w:rsidRDefault="0083078C" w:rsidP="0083078C">
            <w:pPr>
              <w:rPr>
                <w:sz w:val="14"/>
                <w:szCs w:val="14"/>
              </w:rPr>
            </w:pPr>
            <w:r w:rsidRPr="001A341E">
              <w:rPr>
                <w:rFonts w:ascii="思源黑体" w:hAnsi="思源黑体"/>
                <w:sz w:val="14"/>
                <w:szCs w:val="14"/>
              </w:rPr>
              <w:t>PIK3CA</w:t>
            </w:r>
          </w:p>
        </w:tc>
        <w:tc>
          <w:tcPr>
            <w:tcW w:w="7369" w:type="dxa"/>
            <w:vMerge w:val="restart"/>
            <w:vAlign w:val="center"/>
          </w:tcPr>
          <w:p w14:paraId="7B179886" w14:textId="4541D08B" w:rsidR="0083078C" w:rsidRPr="001A341E" w:rsidRDefault="0083078C" w:rsidP="0083078C">
            <w:pPr>
              <w:rPr>
                <w:sz w:val="14"/>
                <w:szCs w:val="14"/>
              </w:rPr>
            </w:pPr>
            <w:r w:rsidRPr="001A341E">
              <w:rPr>
                <w:rFonts w:ascii="思源黑体" w:hAnsi="思源黑体"/>
                <w:sz w:val="14"/>
                <w:szCs w:val="14"/>
              </w:rPr>
              <w:t>PI3K/</w:t>
            </w:r>
            <w:proofErr w:type="spellStart"/>
            <w:r w:rsidRPr="001A341E">
              <w:rPr>
                <w:rFonts w:ascii="思源黑体" w:hAnsi="思源黑体"/>
                <w:sz w:val="14"/>
                <w:szCs w:val="14"/>
              </w:rPr>
              <w:t>mTOR</w:t>
            </w:r>
            <w:proofErr w:type="spellEnd"/>
            <w:r w:rsidRPr="001A341E">
              <w:rPr>
                <w:rFonts w:ascii="思源黑体" w:hAnsi="思源黑体"/>
                <w:sz w:val="14"/>
                <w:szCs w:val="14"/>
              </w:rPr>
              <w:t>信号通路是肝胆肿瘤中最重要的信号通路之一。在肝细胞癌中，PIK3CA突变频率约为4%，PTEN缺失突变频率约为4%~7.5%。临床研究提示，PI3K、</w:t>
            </w:r>
            <w:proofErr w:type="spellStart"/>
            <w:r w:rsidRPr="001A341E">
              <w:rPr>
                <w:rFonts w:ascii="思源黑体" w:hAnsi="思源黑体"/>
                <w:sz w:val="14"/>
                <w:szCs w:val="14"/>
              </w:rPr>
              <w:t>Akt</w:t>
            </w:r>
            <w:proofErr w:type="spellEnd"/>
            <w:r w:rsidRPr="001A341E">
              <w:rPr>
                <w:rFonts w:ascii="思源黑体" w:hAnsi="思源黑体"/>
                <w:sz w:val="14"/>
                <w:szCs w:val="14"/>
              </w:rPr>
              <w:t>和</w:t>
            </w:r>
            <w:proofErr w:type="spellStart"/>
            <w:r w:rsidRPr="001A341E">
              <w:rPr>
                <w:rFonts w:ascii="思源黑体" w:hAnsi="思源黑体"/>
                <w:sz w:val="14"/>
                <w:szCs w:val="14"/>
              </w:rPr>
              <w:t>mTOR</w:t>
            </w:r>
            <w:proofErr w:type="spellEnd"/>
            <w:r w:rsidRPr="001A341E">
              <w:rPr>
                <w:rFonts w:ascii="思源黑体" w:hAnsi="思源黑体"/>
                <w:sz w:val="14"/>
                <w:szCs w:val="14"/>
              </w:rPr>
              <w:t>抑制剂可以作为PIK3CA突变的肿瘤患者潜在的治疗靶点。多种PI3K抑制剂，包括</w:t>
            </w:r>
            <w:proofErr w:type="spellStart"/>
            <w:r w:rsidRPr="001A341E">
              <w:rPr>
                <w:rFonts w:ascii="思源黑体" w:hAnsi="思源黑体"/>
                <w:sz w:val="14"/>
                <w:szCs w:val="14"/>
              </w:rPr>
              <w:t>Buparlisib</w:t>
            </w:r>
            <w:proofErr w:type="spellEnd"/>
            <w:r w:rsidRPr="001A341E">
              <w:rPr>
                <w:rFonts w:ascii="思源黑体" w:hAnsi="思源黑体"/>
                <w:sz w:val="14"/>
                <w:szCs w:val="14"/>
              </w:rPr>
              <w:t>、</w:t>
            </w:r>
            <w:proofErr w:type="spellStart"/>
            <w:r w:rsidRPr="001A341E">
              <w:rPr>
                <w:rFonts w:ascii="思源黑体" w:hAnsi="思源黑体"/>
                <w:sz w:val="14"/>
                <w:szCs w:val="14"/>
              </w:rPr>
              <w:t>Taselisib</w:t>
            </w:r>
            <w:proofErr w:type="spellEnd"/>
            <w:r w:rsidRPr="001A341E">
              <w:rPr>
                <w:rFonts w:ascii="思源黑体" w:hAnsi="思源黑体"/>
                <w:sz w:val="14"/>
                <w:szCs w:val="14"/>
              </w:rPr>
              <w:t>和</w:t>
            </w:r>
            <w:proofErr w:type="spellStart"/>
            <w:r w:rsidRPr="001A341E">
              <w:rPr>
                <w:rFonts w:ascii="思源黑体" w:hAnsi="思源黑体"/>
                <w:sz w:val="14"/>
                <w:szCs w:val="14"/>
              </w:rPr>
              <w:t>Apitolisib</w:t>
            </w:r>
            <w:proofErr w:type="spellEnd"/>
            <w:r w:rsidRPr="001A341E">
              <w:rPr>
                <w:rFonts w:ascii="思源黑体" w:hAnsi="思源黑体"/>
                <w:sz w:val="14"/>
                <w:szCs w:val="14"/>
              </w:rPr>
              <w:t>等正在PIK3CA激活变异、PTEN突变的肝胆系统肿瘤中开展临床试验。依维莫司作为一线单一疗法在晚期胆道肿瘤中表现出了较好的临床效果。另有研究认为，PTEN缺失可能与PD-1/PD-L1抑制剂耐药相关，但尚需进一步的临床验证。</w:t>
            </w:r>
          </w:p>
        </w:tc>
        <w:tc>
          <w:tcPr>
            <w:tcW w:w="1235" w:type="dxa"/>
            <w:vAlign w:val="center"/>
          </w:tcPr>
          <w:p w14:paraId="53435101" w14:textId="0597B5F1" w:rsidR="0083078C" w:rsidRPr="001A341E" w:rsidRDefault="0083078C" w:rsidP="0083078C">
            <w:pPr>
              <w:rPr>
                <w:sz w:val="14"/>
                <w:szCs w:val="14"/>
              </w:rPr>
            </w:pPr>
          </w:p>
        </w:tc>
      </w:tr>
      <w:tr w:rsidR="00D860B5" w14:paraId="1DF628D3" w14:textId="77777777" w:rsidTr="00D860B5">
        <w:tc>
          <w:tcPr>
            <w:tcW w:w="1126" w:type="dxa"/>
            <w:vAlign w:val="center"/>
          </w:tcPr>
          <w:p w14:paraId="5D33440C" w14:textId="1EB68BC9" w:rsidR="0083078C" w:rsidRPr="001A341E" w:rsidRDefault="0083078C" w:rsidP="0083078C">
            <w:pPr>
              <w:rPr>
                <w:sz w:val="14"/>
                <w:szCs w:val="14"/>
              </w:rPr>
            </w:pPr>
            <w:r w:rsidRPr="001A341E">
              <w:rPr>
                <w:rFonts w:ascii="思源黑体" w:hAnsi="思源黑体"/>
                <w:sz w:val="14"/>
                <w:szCs w:val="14"/>
              </w:rPr>
              <w:t>PTEN</w:t>
            </w:r>
          </w:p>
        </w:tc>
        <w:tc>
          <w:tcPr>
            <w:tcW w:w="7369" w:type="dxa"/>
            <w:vMerge/>
            <w:vAlign w:val="center"/>
          </w:tcPr>
          <w:p w14:paraId="12C65AF3" w14:textId="77777777" w:rsidR="0083078C" w:rsidRPr="001A341E" w:rsidRDefault="0083078C" w:rsidP="0083078C">
            <w:pPr>
              <w:rPr>
                <w:sz w:val="14"/>
                <w:szCs w:val="14"/>
              </w:rPr>
            </w:pPr>
          </w:p>
        </w:tc>
        <w:tc>
          <w:tcPr>
            <w:tcW w:w="1235" w:type="dxa"/>
            <w:vAlign w:val="center"/>
          </w:tcPr>
          <w:p w14:paraId="5E9BE6E8" w14:textId="282BA13D" w:rsidR="0083078C" w:rsidRPr="001A341E" w:rsidRDefault="0083078C" w:rsidP="0083078C">
            <w:pPr>
              <w:rPr>
                <w:sz w:val="14"/>
                <w:szCs w:val="14"/>
              </w:rPr>
            </w:pPr>
          </w:p>
        </w:tc>
      </w:tr>
      <w:tr w:rsidR="00D860B5" w14:paraId="79C9C8C4" w14:textId="77777777" w:rsidTr="00D860B5">
        <w:tc>
          <w:tcPr>
            <w:tcW w:w="1126" w:type="dxa"/>
            <w:vAlign w:val="center"/>
          </w:tcPr>
          <w:p w14:paraId="0788F8A1" w14:textId="6E364B00" w:rsidR="0083078C" w:rsidRPr="001A341E" w:rsidRDefault="0083078C" w:rsidP="0083078C">
            <w:pPr>
              <w:rPr>
                <w:sz w:val="14"/>
                <w:szCs w:val="14"/>
              </w:rPr>
            </w:pPr>
            <w:r w:rsidRPr="001A341E">
              <w:rPr>
                <w:rFonts w:ascii="思源黑体" w:hAnsi="思源黑体"/>
                <w:sz w:val="14"/>
                <w:szCs w:val="14"/>
              </w:rPr>
              <w:t>STK11</w:t>
            </w:r>
          </w:p>
        </w:tc>
        <w:tc>
          <w:tcPr>
            <w:tcW w:w="7369" w:type="dxa"/>
            <w:vMerge/>
            <w:vAlign w:val="center"/>
          </w:tcPr>
          <w:p w14:paraId="2CB6E107" w14:textId="77777777" w:rsidR="0083078C" w:rsidRPr="001A341E" w:rsidRDefault="0083078C" w:rsidP="0083078C">
            <w:pPr>
              <w:rPr>
                <w:sz w:val="14"/>
                <w:szCs w:val="14"/>
              </w:rPr>
            </w:pPr>
          </w:p>
        </w:tc>
        <w:tc>
          <w:tcPr>
            <w:tcW w:w="1235" w:type="dxa"/>
            <w:vAlign w:val="center"/>
          </w:tcPr>
          <w:p w14:paraId="7EE38748" w14:textId="2CD56DF7" w:rsidR="0083078C" w:rsidRPr="001A341E" w:rsidRDefault="0083078C" w:rsidP="0083078C">
            <w:pPr>
              <w:rPr>
                <w:sz w:val="14"/>
                <w:szCs w:val="14"/>
              </w:rPr>
            </w:pPr>
          </w:p>
        </w:tc>
      </w:tr>
      <w:tr w:rsidR="00D860B5" w14:paraId="5478E6E9" w14:textId="77777777" w:rsidTr="00D860B5">
        <w:tc>
          <w:tcPr>
            <w:tcW w:w="1126" w:type="dxa"/>
            <w:vAlign w:val="center"/>
          </w:tcPr>
          <w:p w14:paraId="4D2811E5" w14:textId="6F2F66AC" w:rsidR="0083078C" w:rsidRPr="001A341E" w:rsidRDefault="0083078C" w:rsidP="0083078C">
            <w:pPr>
              <w:rPr>
                <w:sz w:val="14"/>
                <w:szCs w:val="14"/>
              </w:rPr>
            </w:pPr>
            <w:r w:rsidRPr="001A341E">
              <w:rPr>
                <w:rFonts w:ascii="思源黑体" w:hAnsi="思源黑体"/>
                <w:sz w:val="14"/>
                <w:szCs w:val="14"/>
              </w:rPr>
              <w:t>TSC1</w:t>
            </w:r>
          </w:p>
        </w:tc>
        <w:tc>
          <w:tcPr>
            <w:tcW w:w="7369" w:type="dxa"/>
            <w:vMerge/>
            <w:vAlign w:val="center"/>
          </w:tcPr>
          <w:p w14:paraId="1543606D" w14:textId="77777777" w:rsidR="0083078C" w:rsidRPr="001A341E" w:rsidRDefault="0083078C" w:rsidP="0083078C">
            <w:pPr>
              <w:rPr>
                <w:sz w:val="14"/>
                <w:szCs w:val="14"/>
              </w:rPr>
            </w:pPr>
          </w:p>
        </w:tc>
        <w:tc>
          <w:tcPr>
            <w:tcW w:w="1235" w:type="dxa"/>
            <w:vAlign w:val="center"/>
          </w:tcPr>
          <w:p w14:paraId="54D6EE18" w14:textId="12E8572D" w:rsidR="0083078C" w:rsidRPr="001A341E" w:rsidRDefault="0083078C" w:rsidP="0083078C">
            <w:pPr>
              <w:rPr>
                <w:sz w:val="14"/>
                <w:szCs w:val="14"/>
              </w:rPr>
            </w:pPr>
          </w:p>
        </w:tc>
      </w:tr>
      <w:tr w:rsidR="00D860B5" w14:paraId="6C293253" w14:textId="77777777" w:rsidTr="00D860B5">
        <w:tc>
          <w:tcPr>
            <w:tcW w:w="1126" w:type="dxa"/>
            <w:vAlign w:val="center"/>
          </w:tcPr>
          <w:p w14:paraId="3D3F4A77" w14:textId="1D8DDC9E" w:rsidR="0083078C" w:rsidRPr="001A341E" w:rsidRDefault="0083078C" w:rsidP="0083078C">
            <w:pPr>
              <w:rPr>
                <w:sz w:val="14"/>
                <w:szCs w:val="14"/>
              </w:rPr>
            </w:pPr>
            <w:r w:rsidRPr="001A341E">
              <w:rPr>
                <w:rFonts w:ascii="思源黑体" w:hAnsi="思源黑体"/>
                <w:sz w:val="14"/>
                <w:szCs w:val="14"/>
              </w:rPr>
              <w:t>TSC2</w:t>
            </w:r>
          </w:p>
        </w:tc>
        <w:tc>
          <w:tcPr>
            <w:tcW w:w="7369" w:type="dxa"/>
            <w:vMerge/>
            <w:vAlign w:val="center"/>
          </w:tcPr>
          <w:p w14:paraId="40189E8F" w14:textId="77777777" w:rsidR="0083078C" w:rsidRPr="001A341E" w:rsidRDefault="0083078C" w:rsidP="0083078C">
            <w:pPr>
              <w:rPr>
                <w:sz w:val="14"/>
                <w:szCs w:val="14"/>
              </w:rPr>
            </w:pPr>
          </w:p>
        </w:tc>
        <w:tc>
          <w:tcPr>
            <w:tcW w:w="1235" w:type="dxa"/>
            <w:vAlign w:val="center"/>
          </w:tcPr>
          <w:p w14:paraId="0B8799F0" w14:textId="766526E5" w:rsidR="0083078C" w:rsidRPr="001A341E" w:rsidRDefault="0083078C" w:rsidP="0083078C">
            <w:pPr>
              <w:rPr>
                <w:sz w:val="14"/>
                <w:szCs w:val="14"/>
              </w:rPr>
            </w:pPr>
          </w:p>
        </w:tc>
      </w:tr>
      <w:tr w:rsidR="00D860B5" w14:paraId="2508EECF" w14:textId="77777777" w:rsidTr="00D860B5">
        <w:tc>
          <w:tcPr>
            <w:tcW w:w="1126" w:type="dxa"/>
            <w:vAlign w:val="center"/>
          </w:tcPr>
          <w:p w14:paraId="037C8574" w14:textId="71B51C12" w:rsidR="0083078C" w:rsidRPr="001A341E" w:rsidRDefault="0083078C" w:rsidP="0083078C">
            <w:pPr>
              <w:rPr>
                <w:sz w:val="14"/>
                <w:szCs w:val="14"/>
              </w:rPr>
            </w:pPr>
            <w:r w:rsidRPr="001A341E">
              <w:rPr>
                <w:rFonts w:ascii="思源黑体" w:hAnsi="思源黑体"/>
                <w:sz w:val="14"/>
                <w:szCs w:val="14"/>
              </w:rPr>
              <w:t>MTOR</w:t>
            </w:r>
          </w:p>
        </w:tc>
        <w:tc>
          <w:tcPr>
            <w:tcW w:w="7369" w:type="dxa"/>
            <w:vMerge/>
            <w:vAlign w:val="center"/>
          </w:tcPr>
          <w:p w14:paraId="5B186AD0" w14:textId="77777777" w:rsidR="0083078C" w:rsidRPr="001A341E" w:rsidRDefault="0083078C" w:rsidP="0083078C">
            <w:pPr>
              <w:rPr>
                <w:sz w:val="14"/>
                <w:szCs w:val="14"/>
              </w:rPr>
            </w:pPr>
          </w:p>
        </w:tc>
        <w:tc>
          <w:tcPr>
            <w:tcW w:w="1235" w:type="dxa"/>
            <w:vAlign w:val="center"/>
          </w:tcPr>
          <w:p w14:paraId="52C685D4" w14:textId="21921F52" w:rsidR="0083078C" w:rsidRPr="001A341E" w:rsidRDefault="0083078C" w:rsidP="0083078C">
            <w:pPr>
              <w:rPr>
                <w:sz w:val="14"/>
                <w:szCs w:val="14"/>
              </w:rPr>
            </w:pPr>
          </w:p>
        </w:tc>
      </w:tr>
      <w:tr w:rsidR="00D860B5" w14:paraId="09357654" w14:textId="77777777" w:rsidTr="00D860B5">
        <w:tc>
          <w:tcPr>
            <w:tcW w:w="1126" w:type="dxa"/>
            <w:vAlign w:val="center"/>
          </w:tcPr>
          <w:p w14:paraId="62BE380A" w14:textId="2261F0A4" w:rsidR="0083078C" w:rsidRPr="001A341E" w:rsidRDefault="0083078C" w:rsidP="0083078C">
            <w:pPr>
              <w:rPr>
                <w:sz w:val="14"/>
                <w:szCs w:val="14"/>
              </w:rPr>
            </w:pPr>
            <w:r w:rsidRPr="001A341E">
              <w:rPr>
                <w:rFonts w:ascii="思源黑体" w:hAnsi="思源黑体"/>
                <w:sz w:val="14"/>
                <w:szCs w:val="14"/>
              </w:rPr>
              <w:t>HRD</w:t>
            </w:r>
          </w:p>
        </w:tc>
        <w:tc>
          <w:tcPr>
            <w:tcW w:w="7369" w:type="dxa"/>
            <w:vAlign w:val="center"/>
          </w:tcPr>
          <w:p w14:paraId="3678C45B" w14:textId="22598B10" w:rsidR="0083078C" w:rsidRPr="001A341E" w:rsidRDefault="0083078C" w:rsidP="0083078C">
            <w:pPr>
              <w:rPr>
                <w:sz w:val="14"/>
                <w:szCs w:val="14"/>
              </w:rPr>
            </w:pPr>
            <w:r w:rsidRPr="001A341E">
              <w:rPr>
                <w:rFonts w:ascii="思源黑体" w:hAnsi="思源黑体"/>
                <w:sz w:val="14"/>
                <w:szCs w:val="14"/>
              </w:rPr>
              <w:t>同源重组修复缺陷是DNA损伤修复的机制之一。当某个或多个同源重组修复基因发生变异时，可能导致HRD。同源重组修复通路涉及的基因包括BRCA1/2，PALB2，ATM，ATR，CHEK1/2，BARD1，BRIP1，MER11A，RAD51基因家族和FANC基因家族等。2018 ASCO一项实体瘤HRD与肿瘤突变负荷（TMB）相关性研究结果显示，HRD在肝细胞癌和CCA中的发生频率分别为28.7%和20.8%，靶向抑制PARP已成为BRCA1/2或PALB2基因缺陷肿瘤的潜在治疗策略。</w:t>
            </w:r>
          </w:p>
        </w:tc>
        <w:tc>
          <w:tcPr>
            <w:tcW w:w="1235" w:type="dxa"/>
            <w:shd w:val="clear" w:color="auto" w:fill="F2F2F2" w:themeFill="background1" w:themeFillShade="F2"/>
            <w:vAlign w:val="center"/>
          </w:tcPr>
          <w:p w14:paraId="5211A00A" w14:textId="6038A33A" w:rsidR="0083078C" w:rsidRPr="001A341E" w:rsidRDefault="0083078C" w:rsidP="0083078C">
            <w:pPr>
              <w:rPr>
                <w:sz w:val="14"/>
                <w:szCs w:val="14"/>
              </w:rPr>
            </w:pPr>
            <w:r w:rsidRPr="001A341E">
              <w:rPr>
                <w:rFonts w:ascii="思源黑体" w:hAnsi="思源黑体"/>
                <w:sz w:val="14"/>
                <w:szCs w:val="14"/>
              </w:rPr>
              <w:t>详见本报告HRD章节</w:t>
            </w:r>
          </w:p>
        </w:tc>
      </w:tr>
      <w:tr w:rsidR="00D860B5" w14:paraId="5618D422" w14:textId="77777777" w:rsidTr="00D860B5">
        <w:tc>
          <w:tcPr>
            <w:tcW w:w="1126" w:type="dxa"/>
            <w:vAlign w:val="center"/>
          </w:tcPr>
          <w:p w14:paraId="63092E0F" w14:textId="77DACDAC" w:rsidR="0083078C" w:rsidRPr="001A341E" w:rsidRDefault="0083078C" w:rsidP="0083078C">
            <w:pPr>
              <w:rPr>
                <w:sz w:val="14"/>
                <w:szCs w:val="14"/>
              </w:rPr>
            </w:pPr>
            <w:r w:rsidRPr="001A341E">
              <w:rPr>
                <w:rFonts w:ascii="思源黑体" w:hAnsi="思源黑体"/>
                <w:sz w:val="14"/>
                <w:szCs w:val="14"/>
              </w:rPr>
              <w:t>FGFR1</w:t>
            </w:r>
          </w:p>
        </w:tc>
        <w:tc>
          <w:tcPr>
            <w:tcW w:w="7369" w:type="dxa"/>
            <w:vMerge w:val="restart"/>
            <w:vAlign w:val="center"/>
          </w:tcPr>
          <w:p w14:paraId="7238E278" w14:textId="20112504" w:rsidR="0083078C" w:rsidRPr="001A341E" w:rsidRDefault="0083078C" w:rsidP="0083078C">
            <w:pPr>
              <w:rPr>
                <w:sz w:val="14"/>
                <w:szCs w:val="14"/>
              </w:rPr>
            </w:pPr>
            <w:r w:rsidRPr="001A341E">
              <w:rPr>
                <w:rFonts w:ascii="思源黑体" w:hAnsi="思源黑体"/>
                <w:sz w:val="14"/>
                <w:szCs w:val="14"/>
              </w:rPr>
              <w:t>FGFR家族受体成员FGFR1-3编码成纤维细胞生长因子受体1-3，FGF/FGFR激活突变、扩增或基因融合会导致FGFR持续激活，促进多种肿瘤进展。11%的ICC和3%的胆囊癌可检测到FGFR1-3基因变异。在11%~45%的CCA中检测到FGFR2基因融合，常见形式主要有FGFR2-ZMYM4，FGFR2-BICC1融合等。FDA已批准将厄达替尼、仑伐替尼、瑞戈非尼、普纳替尼、培唑帕尼等多种FGFR的激酶抑制剂用于肿瘤的临床治疗。晚期/转移性或手术无法切除的CCA患者II期临床试验显示，FGFR2基因易位的CCA患者</w:t>
            </w:r>
            <w:proofErr w:type="spellStart"/>
            <w:r w:rsidRPr="001A341E">
              <w:rPr>
                <w:rFonts w:ascii="思源黑体" w:hAnsi="思源黑体"/>
                <w:sz w:val="14"/>
                <w:szCs w:val="14"/>
              </w:rPr>
              <w:t>Pemigatinib</w:t>
            </w:r>
            <w:proofErr w:type="spellEnd"/>
            <w:r w:rsidRPr="001A341E">
              <w:rPr>
                <w:rFonts w:ascii="思源黑体" w:hAnsi="思源黑体"/>
                <w:sz w:val="14"/>
                <w:szCs w:val="14"/>
              </w:rPr>
              <w:t>临床治疗效果显著。另一FGFR抑制剂</w:t>
            </w:r>
            <w:r w:rsidRPr="001A341E">
              <w:rPr>
                <w:rFonts w:ascii="思源黑体" w:hAnsi="思源黑体"/>
                <w:sz w:val="14"/>
                <w:szCs w:val="14"/>
              </w:rPr>
              <w:lastRenderedPageBreak/>
              <w:t>BGJ398在FGFR变异的晚期CCA患者中开展的II期临床试验显示，客观缓解率为14.8%，疾病控制率为75.4%，中位无进展生存期5.8个月。普纳替尼、瑞戈非尼在胆道肿瘤中的临床试验也在进行中。</w:t>
            </w:r>
          </w:p>
        </w:tc>
        <w:tc>
          <w:tcPr>
            <w:tcW w:w="1235" w:type="dxa"/>
            <w:vAlign w:val="center"/>
          </w:tcPr>
          <w:p w14:paraId="0B54FA73" w14:textId="7DC857A4" w:rsidR="0083078C" w:rsidRPr="001A341E" w:rsidRDefault="0083078C" w:rsidP="0083078C">
            <w:pPr>
              <w:rPr>
                <w:sz w:val="14"/>
                <w:szCs w:val="14"/>
              </w:rPr>
            </w:pPr>
          </w:p>
        </w:tc>
      </w:tr>
      <w:tr w:rsidR="00D860B5" w14:paraId="473F3CC0" w14:textId="77777777" w:rsidTr="00D860B5">
        <w:tc>
          <w:tcPr>
            <w:tcW w:w="1126" w:type="dxa"/>
            <w:vAlign w:val="center"/>
          </w:tcPr>
          <w:p w14:paraId="118F0BB3" w14:textId="59CC1CDB" w:rsidR="0083078C" w:rsidRPr="001A341E" w:rsidRDefault="0083078C" w:rsidP="0083078C">
            <w:pPr>
              <w:rPr>
                <w:sz w:val="14"/>
                <w:szCs w:val="14"/>
              </w:rPr>
            </w:pPr>
            <w:r w:rsidRPr="001A341E">
              <w:rPr>
                <w:rFonts w:ascii="思源黑体" w:hAnsi="思源黑体"/>
                <w:sz w:val="14"/>
                <w:szCs w:val="14"/>
              </w:rPr>
              <w:t>FGFR2</w:t>
            </w:r>
          </w:p>
        </w:tc>
        <w:tc>
          <w:tcPr>
            <w:tcW w:w="7369" w:type="dxa"/>
            <w:vMerge/>
            <w:vAlign w:val="center"/>
          </w:tcPr>
          <w:p w14:paraId="37C0825B" w14:textId="77777777" w:rsidR="0083078C" w:rsidRPr="001A341E" w:rsidRDefault="0083078C" w:rsidP="0083078C">
            <w:pPr>
              <w:rPr>
                <w:sz w:val="14"/>
                <w:szCs w:val="14"/>
              </w:rPr>
            </w:pPr>
          </w:p>
        </w:tc>
        <w:tc>
          <w:tcPr>
            <w:tcW w:w="1235" w:type="dxa"/>
            <w:vAlign w:val="center"/>
          </w:tcPr>
          <w:p w14:paraId="6F55BCF7" w14:textId="09D71A07" w:rsidR="0083078C" w:rsidRPr="001A341E" w:rsidRDefault="0083078C" w:rsidP="0083078C">
            <w:pPr>
              <w:rPr>
                <w:sz w:val="14"/>
                <w:szCs w:val="14"/>
              </w:rPr>
            </w:pPr>
          </w:p>
        </w:tc>
      </w:tr>
      <w:tr w:rsidR="00D860B5" w14:paraId="0402AB90" w14:textId="77777777" w:rsidTr="00D860B5">
        <w:tc>
          <w:tcPr>
            <w:tcW w:w="1126" w:type="dxa"/>
            <w:vAlign w:val="center"/>
          </w:tcPr>
          <w:p w14:paraId="600A76AD" w14:textId="58A9EE39" w:rsidR="0083078C" w:rsidRPr="001A341E" w:rsidRDefault="0083078C" w:rsidP="0083078C">
            <w:pPr>
              <w:rPr>
                <w:sz w:val="14"/>
                <w:szCs w:val="14"/>
              </w:rPr>
            </w:pPr>
            <w:r w:rsidRPr="001A341E">
              <w:rPr>
                <w:rFonts w:ascii="思源黑体" w:hAnsi="思源黑体"/>
                <w:sz w:val="14"/>
                <w:szCs w:val="14"/>
              </w:rPr>
              <w:t>FGFR3</w:t>
            </w:r>
          </w:p>
        </w:tc>
        <w:tc>
          <w:tcPr>
            <w:tcW w:w="7369" w:type="dxa"/>
            <w:vMerge/>
            <w:vAlign w:val="center"/>
          </w:tcPr>
          <w:p w14:paraId="0C77BE64" w14:textId="77777777" w:rsidR="0083078C" w:rsidRPr="001A341E" w:rsidRDefault="0083078C" w:rsidP="0083078C">
            <w:pPr>
              <w:rPr>
                <w:sz w:val="14"/>
                <w:szCs w:val="14"/>
              </w:rPr>
            </w:pPr>
          </w:p>
        </w:tc>
        <w:tc>
          <w:tcPr>
            <w:tcW w:w="1235" w:type="dxa"/>
            <w:vAlign w:val="center"/>
          </w:tcPr>
          <w:p w14:paraId="68CFB940" w14:textId="1C0E444E" w:rsidR="0083078C" w:rsidRPr="001A341E" w:rsidRDefault="0083078C" w:rsidP="0083078C">
            <w:pPr>
              <w:rPr>
                <w:sz w:val="14"/>
                <w:szCs w:val="14"/>
              </w:rPr>
            </w:pPr>
          </w:p>
        </w:tc>
      </w:tr>
      <w:tr w:rsidR="00D860B5" w14:paraId="51945227" w14:textId="77777777" w:rsidTr="00D860B5">
        <w:tc>
          <w:tcPr>
            <w:tcW w:w="1126" w:type="dxa"/>
            <w:vAlign w:val="center"/>
          </w:tcPr>
          <w:p w14:paraId="757C6895" w14:textId="473C4C5A" w:rsidR="0083078C" w:rsidRPr="001A341E" w:rsidRDefault="0083078C" w:rsidP="0083078C">
            <w:pPr>
              <w:rPr>
                <w:sz w:val="14"/>
                <w:szCs w:val="14"/>
              </w:rPr>
            </w:pPr>
            <w:r w:rsidRPr="001A341E">
              <w:rPr>
                <w:rFonts w:ascii="思源黑体" w:hAnsi="思源黑体"/>
                <w:sz w:val="14"/>
                <w:szCs w:val="14"/>
              </w:rPr>
              <w:lastRenderedPageBreak/>
              <w:t>ERBB2</w:t>
            </w:r>
          </w:p>
        </w:tc>
        <w:tc>
          <w:tcPr>
            <w:tcW w:w="7369" w:type="dxa"/>
            <w:vAlign w:val="center"/>
          </w:tcPr>
          <w:p w14:paraId="40C521F3" w14:textId="39351A8F" w:rsidR="0083078C" w:rsidRPr="001A341E" w:rsidRDefault="0083078C" w:rsidP="00503DC7">
            <w:pPr>
              <w:rPr>
                <w:sz w:val="14"/>
                <w:szCs w:val="14"/>
              </w:rPr>
            </w:pPr>
            <w:r w:rsidRPr="001A341E">
              <w:rPr>
                <w:rFonts w:ascii="思源黑体" w:hAnsi="思源黑体"/>
                <w:sz w:val="14"/>
                <w:szCs w:val="14"/>
              </w:rPr>
              <w:t>ERBB2基因</w:t>
            </w:r>
            <w:r w:rsidR="00503DC7" w:rsidRPr="001A341E">
              <w:rPr>
                <w:rFonts w:ascii="思源黑体" w:hAnsi="思源黑体"/>
                <w:sz w:val="14"/>
                <w:szCs w:val="14"/>
              </w:rPr>
              <w:t>(</w:t>
            </w:r>
            <w:r w:rsidRPr="001A341E">
              <w:rPr>
                <w:rFonts w:ascii="思源黑体" w:hAnsi="思源黑体"/>
                <w:sz w:val="14"/>
                <w:szCs w:val="14"/>
              </w:rPr>
              <w:t>又名HER2</w:t>
            </w:r>
            <w:r w:rsidR="00503DC7" w:rsidRPr="001A341E">
              <w:rPr>
                <w:rFonts w:ascii="思源黑体" w:hAnsi="思源黑体"/>
                <w:sz w:val="14"/>
                <w:szCs w:val="14"/>
              </w:rPr>
              <w:t>)</w:t>
            </w:r>
            <w:r w:rsidRPr="001A341E">
              <w:rPr>
                <w:rFonts w:ascii="思源黑体" w:hAnsi="思源黑体"/>
                <w:sz w:val="14"/>
                <w:szCs w:val="14"/>
              </w:rPr>
              <w:t>，属于人类表皮生长因子受体家族。该家族包括4个成员：EGFR、HER2、HER3、HER4，均编码跨膜受体酪氨酸激酶，参与生长因子介导的致癌信号级联放大传递。HER2基因突变在CCA中发生频率约为3.9%，在胆囊癌中约为11%。研究显示，HER2在胆囊上皮中的持续表达能够导致腺癌的发生。回顾性研究发现，HER2基因扩增或过表达的胆囊癌患者（8例）使用曲妥珠单抗、帕妥珠单抗和拉帕替尼治疗，3例为病情稳定，4例为病情缓解，1例为完全缓解。1例HER2过表达的转移性胆囊癌患者使用曲妥珠单抗治疗后，其病情缓解持续时间为4个月；1例携带HER2扩增的转移性CCA患者经曲妥珠单抗联合紫杉醇治疗后，临床疗效显著。</w:t>
            </w:r>
          </w:p>
        </w:tc>
        <w:tc>
          <w:tcPr>
            <w:tcW w:w="1235" w:type="dxa"/>
            <w:vAlign w:val="center"/>
          </w:tcPr>
          <w:p w14:paraId="65B45100" w14:textId="6A5F1BEE" w:rsidR="0083078C" w:rsidRPr="001A341E" w:rsidRDefault="0083078C" w:rsidP="0083078C">
            <w:pPr>
              <w:rPr>
                <w:sz w:val="14"/>
                <w:szCs w:val="14"/>
              </w:rPr>
            </w:pPr>
          </w:p>
        </w:tc>
      </w:tr>
      <w:tr w:rsidR="00D860B5" w14:paraId="3A21AE05" w14:textId="77777777" w:rsidTr="00D860B5">
        <w:tc>
          <w:tcPr>
            <w:tcW w:w="1126" w:type="dxa"/>
            <w:vAlign w:val="center"/>
          </w:tcPr>
          <w:p w14:paraId="42208440" w14:textId="7F9F7A29" w:rsidR="0083078C" w:rsidRPr="001A341E" w:rsidRDefault="0083078C" w:rsidP="0083078C">
            <w:pPr>
              <w:rPr>
                <w:sz w:val="14"/>
                <w:szCs w:val="14"/>
              </w:rPr>
            </w:pPr>
            <w:r w:rsidRPr="001A341E">
              <w:rPr>
                <w:rFonts w:ascii="思源黑体" w:hAnsi="思源黑体"/>
                <w:sz w:val="14"/>
                <w:szCs w:val="14"/>
              </w:rPr>
              <w:t>BRAF</w:t>
            </w:r>
          </w:p>
        </w:tc>
        <w:tc>
          <w:tcPr>
            <w:tcW w:w="7369" w:type="dxa"/>
            <w:vAlign w:val="center"/>
          </w:tcPr>
          <w:p w14:paraId="747E5C2B" w14:textId="241E8051" w:rsidR="0083078C" w:rsidRPr="001A341E" w:rsidRDefault="0083078C" w:rsidP="0083078C">
            <w:pPr>
              <w:rPr>
                <w:sz w:val="14"/>
                <w:szCs w:val="14"/>
              </w:rPr>
            </w:pPr>
            <w:r w:rsidRPr="001A341E">
              <w:rPr>
                <w:rFonts w:ascii="思源黑体" w:hAnsi="思源黑体"/>
                <w:sz w:val="14"/>
                <w:szCs w:val="14"/>
              </w:rPr>
              <w:t>BRAF为编码RAF蛋白激酶的家族成员之一，主要参与MAP激酶级联反应，该信号激活能够促进细胞增殖、生存、迁移和分化。据报道，胆道肿瘤中的BRAF突变频率差异很大；胆囊癌的变异频率为0~33%，CCA的变异频率为0~22%。FDA批准达拉非尼、维莫非尼和</w:t>
            </w:r>
            <w:proofErr w:type="spellStart"/>
            <w:r w:rsidRPr="001A341E">
              <w:rPr>
                <w:rFonts w:ascii="思源黑体" w:hAnsi="思源黑体"/>
                <w:sz w:val="14"/>
                <w:szCs w:val="14"/>
              </w:rPr>
              <w:t>Encorafenib</w:t>
            </w:r>
            <w:proofErr w:type="spellEnd"/>
            <w:r w:rsidRPr="001A341E">
              <w:rPr>
                <w:rFonts w:ascii="思源黑体" w:hAnsi="思源黑体"/>
                <w:sz w:val="14"/>
                <w:szCs w:val="14"/>
              </w:rPr>
              <w:t>，以及MEK抑制剂曲美替尼、卡博替尼和</w:t>
            </w:r>
            <w:proofErr w:type="spellStart"/>
            <w:r w:rsidRPr="001A341E">
              <w:rPr>
                <w:rFonts w:ascii="思源黑体" w:hAnsi="思源黑体"/>
                <w:sz w:val="14"/>
                <w:szCs w:val="14"/>
              </w:rPr>
              <w:t>Binimetinib</w:t>
            </w:r>
            <w:proofErr w:type="spellEnd"/>
            <w:r w:rsidRPr="001A341E">
              <w:rPr>
                <w:rFonts w:ascii="思源黑体" w:hAnsi="思源黑体"/>
                <w:sz w:val="14"/>
                <w:szCs w:val="14"/>
              </w:rPr>
              <w:t>等BRAF抑制剂单药或联合治疗多种携带BRAF V600位点突变的肿瘤。BRAF V600E突变还与BRAF抑制剂（维莫非尼、达拉非尼等）敏感性增强有关。达拉非尼联合曲美替尼治疗BRAF V600E突变的CCA患者，客观缓解率41%，且安全可耐受。</w:t>
            </w:r>
          </w:p>
        </w:tc>
        <w:tc>
          <w:tcPr>
            <w:tcW w:w="1235" w:type="dxa"/>
            <w:vAlign w:val="center"/>
          </w:tcPr>
          <w:p w14:paraId="2EA2E46B" w14:textId="5DBF711F" w:rsidR="0083078C" w:rsidRPr="001A341E" w:rsidRDefault="0083078C" w:rsidP="0083078C">
            <w:pPr>
              <w:rPr>
                <w:sz w:val="14"/>
                <w:szCs w:val="14"/>
              </w:rPr>
            </w:pPr>
          </w:p>
        </w:tc>
      </w:tr>
      <w:tr w:rsidR="0083078C" w14:paraId="673C1C7A" w14:textId="77777777" w:rsidTr="0083078C">
        <w:tc>
          <w:tcPr>
            <w:tcW w:w="9730" w:type="dxa"/>
            <w:gridSpan w:val="3"/>
            <w:shd w:val="clear" w:color="auto" w:fill="F2F2F2" w:themeFill="background1" w:themeFillShade="F2"/>
            <w:vAlign w:val="center"/>
          </w:tcPr>
          <w:p w14:paraId="7101A5A2" w14:textId="0A4B1663" w:rsidR="0083078C" w:rsidRPr="001A341E" w:rsidRDefault="0083078C" w:rsidP="0083078C">
            <w:pPr>
              <w:rPr>
                <w:b/>
                <w:sz w:val="15"/>
                <w:szCs w:val="14"/>
              </w:rPr>
            </w:pPr>
            <w:r w:rsidRPr="001A341E">
              <w:rPr>
                <w:rFonts w:ascii="思源黑体" w:hAnsi="思源黑体"/>
                <w:b/>
                <w:sz w:val="15"/>
                <w:szCs w:val="14"/>
              </w:rPr>
              <w:t>免疫治疗相关的分子标志物</w:t>
            </w:r>
          </w:p>
        </w:tc>
      </w:tr>
      <w:tr w:rsidR="00D860B5" w14:paraId="77E26C9D" w14:textId="77777777" w:rsidTr="00D860B5">
        <w:tc>
          <w:tcPr>
            <w:tcW w:w="1126" w:type="dxa"/>
            <w:vAlign w:val="center"/>
          </w:tcPr>
          <w:p w14:paraId="081D726E" w14:textId="1FA373D0" w:rsidR="0083078C" w:rsidRPr="001A341E" w:rsidRDefault="0083078C" w:rsidP="0083078C">
            <w:pPr>
              <w:rPr>
                <w:sz w:val="14"/>
                <w:szCs w:val="14"/>
              </w:rPr>
            </w:pPr>
            <w:r w:rsidRPr="001A341E">
              <w:rPr>
                <w:rFonts w:ascii="思源黑体" w:hAnsi="思源黑体"/>
                <w:sz w:val="14"/>
                <w:szCs w:val="14"/>
              </w:rPr>
              <w:t>PD-L1</w:t>
            </w:r>
          </w:p>
        </w:tc>
        <w:tc>
          <w:tcPr>
            <w:tcW w:w="7369" w:type="dxa"/>
            <w:vAlign w:val="center"/>
          </w:tcPr>
          <w:p w14:paraId="6CBB8DF8" w14:textId="5C9EB3E6" w:rsidR="0083078C" w:rsidRPr="001A341E" w:rsidRDefault="0083078C" w:rsidP="0083078C">
            <w:pPr>
              <w:rPr>
                <w:sz w:val="14"/>
                <w:szCs w:val="14"/>
              </w:rPr>
            </w:pPr>
            <w:r w:rsidRPr="001A341E">
              <w:rPr>
                <w:rFonts w:ascii="思源黑体" w:hAnsi="思源黑体"/>
                <w:sz w:val="14"/>
                <w:szCs w:val="14"/>
              </w:rPr>
              <w:t>PD-L1常见于表达在肿瘤细胞、巨噬细胞和树突状细胞表面，具有诱导免疫逃逸的功能。大量临床试验表明，组织中PD-L1表达阳性是免疫检查点抑制剂疗效评估和患者预后的重要分子标志物，但对于PD-L1检测阳性标准，不同癌种的不同抗体有不同的判断标准。目前，研究数据显示对该结果存在争议，而肝胆肿瘤中尚无明确结论。</w:t>
            </w:r>
          </w:p>
        </w:tc>
        <w:tc>
          <w:tcPr>
            <w:tcW w:w="1235" w:type="dxa"/>
            <w:vAlign w:val="center"/>
          </w:tcPr>
          <w:p w14:paraId="72426325" w14:textId="14638F2D" w:rsidR="0083078C" w:rsidRPr="001A341E" w:rsidRDefault="0083078C" w:rsidP="0083078C">
            <w:pPr>
              <w:rPr>
                <w:sz w:val="14"/>
                <w:szCs w:val="14"/>
              </w:rPr>
            </w:pPr>
          </w:p>
        </w:tc>
      </w:tr>
      <w:tr w:rsidR="00D860B5" w14:paraId="16CCBE04" w14:textId="77777777" w:rsidTr="00D860B5">
        <w:tc>
          <w:tcPr>
            <w:tcW w:w="1126" w:type="dxa"/>
            <w:vAlign w:val="center"/>
          </w:tcPr>
          <w:p w14:paraId="446DABB6" w14:textId="7352D27F" w:rsidR="0083078C" w:rsidRPr="001A341E" w:rsidRDefault="0083078C" w:rsidP="0083078C">
            <w:pPr>
              <w:rPr>
                <w:sz w:val="14"/>
                <w:szCs w:val="14"/>
              </w:rPr>
            </w:pPr>
            <w:r w:rsidRPr="001A341E">
              <w:rPr>
                <w:rFonts w:ascii="思源黑体" w:hAnsi="思源黑体"/>
                <w:sz w:val="14"/>
                <w:szCs w:val="14"/>
              </w:rPr>
              <w:t>TMB</w:t>
            </w:r>
          </w:p>
        </w:tc>
        <w:tc>
          <w:tcPr>
            <w:tcW w:w="7369" w:type="dxa"/>
            <w:vAlign w:val="center"/>
          </w:tcPr>
          <w:p w14:paraId="3E613584" w14:textId="4109D708" w:rsidR="0083078C" w:rsidRPr="001A341E" w:rsidRDefault="0083078C" w:rsidP="00D860B5">
            <w:pPr>
              <w:rPr>
                <w:sz w:val="14"/>
                <w:szCs w:val="14"/>
              </w:rPr>
            </w:pPr>
            <w:r w:rsidRPr="001A341E">
              <w:rPr>
                <w:rFonts w:ascii="思源黑体" w:hAnsi="思源黑体"/>
                <w:sz w:val="14"/>
                <w:szCs w:val="14"/>
              </w:rPr>
              <w:t>TMB是指肿瘤基因组中平均1Mb范围内所包含的体细胞蛋白编码区点突变、插入缺失等基因变异数量。高TMB与免疫检查点抑制剂治疗肿瘤较好的临床相应相关，这种获益可能与高TMB患者肿瘤细胞新抗原增加有关。晚期肝细胞癌患者TMB中位值约为4个突变/Mb，95%的患者TMB&lt;10突变/Mb，6.89%样本TMB≥10突变/Mb。研究报道PD-1抑制剂治疗1例肝细胞癌患者</w:t>
            </w:r>
            <w:r w:rsidR="00D860B5" w:rsidRPr="001A341E">
              <w:rPr>
                <w:rFonts w:ascii="思源黑体" w:hAnsi="思源黑体"/>
                <w:sz w:val="14"/>
                <w:szCs w:val="14"/>
              </w:rPr>
              <w:t>(</w:t>
            </w:r>
            <w:r w:rsidRPr="001A341E">
              <w:rPr>
                <w:rFonts w:ascii="思源黑体" w:hAnsi="思源黑体"/>
                <w:sz w:val="14"/>
                <w:szCs w:val="14"/>
              </w:rPr>
              <w:t>TMB=15突变/Mb</w:t>
            </w:r>
            <w:r w:rsidR="00D860B5" w:rsidRPr="001A341E">
              <w:rPr>
                <w:rFonts w:ascii="思源黑体" w:hAnsi="思源黑体" w:hint="eastAsia"/>
                <w:sz w:val="14"/>
                <w:szCs w:val="14"/>
              </w:rPr>
              <w:t>，</w:t>
            </w:r>
            <w:r w:rsidRPr="001A341E">
              <w:rPr>
                <w:rFonts w:ascii="思源黑体" w:hAnsi="思源黑体"/>
                <w:sz w:val="14"/>
                <w:szCs w:val="14"/>
              </w:rPr>
              <w:t>MSS</w:t>
            </w:r>
            <w:r w:rsidR="00D860B5" w:rsidRPr="001A341E">
              <w:rPr>
                <w:rFonts w:ascii="思源黑体" w:hAnsi="思源黑体"/>
                <w:sz w:val="14"/>
                <w:szCs w:val="14"/>
              </w:rPr>
              <w:t>)</w:t>
            </w:r>
            <w:r w:rsidRPr="001A341E">
              <w:rPr>
                <w:rFonts w:ascii="思源黑体" w:hAnsi="思源黑体"/>
                <w:sz w:val="14"/>
                <w:szCs w:val="14"/>
              </w:rPr>
              <w:t>对纳武利尤单抗保持完全应答状态持续超过2年。另有个案报道也显示免疫联合治疗对PD-L1（+）/TMB-H的ICC患者疗效明显。</w:t>
            </w:r>
          </w:p>
        </w:tc>
        <w:tc>
          <w:tcPr>
            <w:tcW w:w="1235" w:type="dxa"/>
            <w:vAlign w:val="center"/>
          </w:tcPr>
          <w:p w14:paraId="324EDEF9" w14:textId="4A786DD1" w:rsidR="0083078C" w:rsidRPr="001A341E" w:rsidRDefault="0083078C" w:rsidP="0083078C">
            <w:pPr>
              <w:rPr>
                <w:sz w:val="14"/>
                <w:szCs w:val="14"/>
              </w:rPr>
            </w:pPr>
          </w:p>
        </w:tc>
      </w:tr>
      <w:tr w:rsidR="00D860B5" w14:paraId="238BAAB6" w14:textId="77777777" w:rsidTr="00D860B5">
        <w:tc>
          <w:tcPr>
            <w:tcW w:w="1126" w:type="dxa"/>
            <w:vAlign w:val="center"/>
          </w:tcPr>
          <w:p w14:paraId="47A264D6" w14:textId="54E03DD3" w:rsidR="0083078C" w:rsidRPr="001A341E" w:rsidRDefault="0083078C" w:rsidP="0083078C">
            <w:pPr>
              <w:rPr>
                <w:sz w:val="14"/>
                <w:szCs w:val="14"/>
              </w:rPr>
            </w:pPr>
            <w:r w:rsidRPr="001A341E">
              <w:rPr>
                <w:rFonts w:ascii="思源黑体" w:hAnsi="思源黑体"/>
                <w:sz w:val="14"/>
                <w:szCs w:val="14"/>
              </w:rPr>
              <w:t>MSI</w:t>
            </w:r>
          </w:p>
        </w:tc>
        <w:tc>
          <w:tcPr>
            <w:tcW w:w="7369" w:type="dxa"/>
            <w:vAlign w:val="center"/>
          </w:tcPr>
          <w:p w14:paraId="3C034739" w14:textId="39B0A5B0" w:rsidR="0083078C" w:rsidRPr="001A341E" w:rsidRDefault="0083078C" w:rsidP="0083078C">
            <w:pPr>
              <w:rPr>
                <w:sz w:val="14"/>
                <w:szCs w:val="14"/>
              </w:rPr>
            </w:pPr>
            <w:r w:rsidRPr="001A341E">
              <w:rPr>
                <w:rFonts w:ascii="思源黑体" w:hAnsi="思源黑体"/>
                <w:sz w:val="14"/>
                <w:szCs w:val="14"/>
              </w:rPr>
              <w:t>MMR相关基因（MLH1、MSH2、MSH6、PMS2）的功能失活可导致MSI-H，表现为碱基插入或缺失产生的基因组中简单重复序列（微卫星）长度的改变。NCCN指南指出，对于不可切除和转移性CCA患者，推荐增加分子检测，包括MMR检测，并推荐帕博利珠单抗用于MSI-1/</w:t>
            </w:r>
            <w:proofErr w:type="spellStart"/>
            <w:r w:rsidRPr="001A341E">
              <w:rPr>
                <w:rFonts w:ascii="思源黑体" w:hAnsi="思源黑体"/>
                <w:sz w:val="14"/>
                <w:szCs w:val="14"/>
              </w:rPr>
              <w:t>dMMR</w:t>
            </w:r>
            <w:proofErr w:type="spellEnd"/>
            <w:r w:rsidRPr="001A341E">
              <w:rPr>
                <w:rFonts w:ascii="思源黑体" w:hAnsi="思源黑体"/>
                <w:sz w:val="14"/>
                <w:szCs w:val="14"/>
              </w:rPr>
              <w:t>的ICC、肝外胆管癌（ECC）和胆囊癌患者。</w:t>
            </w:r>
          </w:p>
        </w:tc>
        <w:tc>
          <w:tcPr>
            <w:tcW w:w="1235" w:type="dxa"/>
            <w:vAlign w:val="center"/>
          </w:tcPr>
          <w:p w14:paraId="64D03B9C" w14:textId="0919B4CF" w:rsidR="0083078C" w:rsidRPr="001A341E" w:rsidRDefault="0083078C" w:rsidP="0083078C">
            <w:pPr>
              <w:rPr>
                <w:sz w:val="14"/>
                <w:szCs w:val="14"/>
              </w:rPr>
            </w:pPr>
          </w:p>
        </w:tc>
      </w:tr>
      <w:tr w:rsidR="00D860B5" w14:paraId="7A7ADD8C" w14:textId="77777777" w:rsidTr="00D860B5">
        <w:tc>
          <w:tcPr>
            <w:tcW w:w="1126" w:type="dxa"/>
            <w:vAlign w:val="center"/>
          </w:tcPr>
          <w:p w14:paraId="4020D631" w14:textId="1B2688AF" w:rsidR="0083078C" w:rsidRPr="001A341E" w:rsidRDefault="0083078C" w:rsidP="0083078C">
            <w:pPr>
              <w:rPr>
                <w:sz w:val="14"/>
                <w:szCs w:val="14"/>
              </w:rPr>
            </w:pPr>
            <w:r w:rsidRPr="001A341E">
              <w:rPr>
                <w:rFonts w:ascii="思源黑体" w:hAnsi="思源黑体"/>
                <w:sz w:val="14"/>
                <w:szCs w:val="14"/>
              </w:rPr>
              <w:t>MLH1</w:t>
            </w:r>
          </w:p>
        </w:tc>
        <w:tc>
          <w:tcPr>
            <w:tcW w:w="7369" w:type="dxa"/>
            <w:vMerge w:val="restart"/>
            <w:vAlign w:val="center"/>
          </w:tcPr>
          <w:p w14:paraId="46C5F9FB" w14:textId="2B032F21" w:rsidR="0083078C" w:rsidRPr="001A341E" w:rsidRDefault="0083078C" w:rsidP="00503DC7">
            <w:pPr>
              <w:rPr>
                <w:sz w:val="14"/>
                <w:szCs w:val="14"/>
              </w:rPr>
            </w:pPr>
            <w:r w:rsidRPr="001A341E">
              <w:rPr>
                <w:rFonts w:ascii="思源黑体" w:hAnsi="思源黑体"/>
                <w:sz w:val="14"/>
                <w:szCs w:val="14"/>
              </w:rPr>
              <w:t>MMR相关基因</w:t>
            </w:r>
            <w:r w:rsidR="00503DC7" w:rsidRPr="001A341E">
              <w:rPr>
                <w:rFonts w:ascii="思源黑体" w:hAnsi="思源黑体"/>
                <w:sz w:val="14"/>
                <w:szCs w:val="14"/>
              </w:rPr>
              <w:t>(</w:t>
            </w:r>
            <w:r w:rsidRPr="001A341E">
              <w:rPr>
                <w:rFonts w:ascii="思源黑体" w:hAnsi="思源黑体"/>
                <w:sz w:val="14"/>
                <w:szCs w:val="14"/>
              </w:rPr>
              <w:t>MLH1、MSH2、MSH6、PMS2</w:t>
            </w:r>
            <w:r w:rsidR="00503DC7" w:rsidRPr="001A341E">
              <w:rPr>
                <w:rFonts w:ascii="思源黑体" w:hAnsi="思源黑体"/>
                <w:sz w:val="14"/>
                <w:szCs w:val="14"/>
              </w:rPr>
              <w:t>)</w:t>
            </w:r>
            <w:r w:rsidRPr="001A341E">
              <w:rPr>
                <w:rFonts w:ascii="思源黑体" w:hAnsi="思源黑体"/>
                <w:sz w:val="14"/>
                <w:szCs w:val="14"/>
              </w:rPr>
              <w:t>功能失活可导致MSI-H，表现为碱基插入或缺失产生的基因组中简单重复序列（微卫星）长度的改变。NCCN指南指出，对于不可切除和转移性CCA患者，推荐增加分子检测，包括MMR检测，并推荐帕博利珠单抗用于MSI-1/</w:t>
            </w:r>
            <w:proofErr w:type="spellStart"/>
            <w:r w:rsidRPr="001A341E">
              <w:rPr>
                <w:rFonts w:ascii="思源黑体" w:hAnsi="思源黑体"/>
                <w:sz w:val="14"/>
                <w:szCs w:val="14"/>
              </w:rPr>
              <w:t>dMMR</w:t>
            </w:r>
            <w:proofErr w:type="spellEnd"/>
            <w:r w:rsidRPr="001A341E">
              <w:rPr>
                <w:rFonts w:ascii="思源黑体" w:hAnsi="思源黑体"/>
                <w:sz w:val="14"/>
                <w:szCs w:val="14"/>
              </w:rPr>
              <w:t>的ICC、肝外胆管癌</w:t>
            </w:r>
            <w:r w:rsidR="00503DC7" w:rsidRPr="001A341E">
              <w:rPr>
                <w:rFonts w:ascii="思源黑体" w:hAnsi="思源黑体"/>
                <w:sz w:val="14"/>
                <w:szCs w:val="14"/>
              </w:rPr>
              <w:t>(</w:t>
            </w:r>
            <w:r w:rsidRPr="001A341E">
              <w:rPr>
                <w:rFonts w:ascii="思源黑体" w:hAnsi="思源黑体"/>
                <w:sz w:val="14"/>
                <w:szCs w:val="14"/>
              </w:rPr>
              <w:t>ECC</w:t>
            </w:r>
            <w:r w:rsidR="00503DC7" w:rsidRPr="001A341E">
              <w:rPr>
                <w:rFonts w:ascii="思源黑体" w:hAnsi="思源黑体"/>
                <w:sz w:val="14"/>
                <w:szCs w:val="14"/>
              </w:rPr>
              <w:t>)</w:t>
            </w:r>
            <w:r w:rsidRPr="001A341E">
              <w:rPr>
                <w:rFonts w:ascii="思源黑体" w:hAnsi="思源黑体"/>
                <w:sz w:val="14"/>
                <w:szCs w:val="14"/>
              </w:rPr>
              <w:t>和胆囊癌患者。</w:t>
            </w:r>
          </w:p>
        </w:tc>
        <w:tc>
          <w:tcPr>
            <w:tcW w:w="1235" w:type="dxa"/>
            <w:vAlign w:val="center"/>
          </w:tcPr>
          <w:p w14:paraId="3413E667" w14:textId="3A3A206C" w:rsidR="0083078C" w:rsidRPr="001A341E" w:rsidRDefault="0083078C" w:rsidP="0083078C">
            <w:pPr>
              <w:rPr>
                <w:sz w:val="14"/>
                <w:szCs w:val="14"/>
              </w:rPr>
            </w:pPr>
          </w:p>
        </w:tc>
      </w:tr>
      <w:tr w:rsidR="00D860B5" w14:paraId="4DCD185B" w14:textId="77777777" w:rsidTr="00D860B5">
        <w:tc>
          <w:tcPr>
            <w:tcW w:w="1126" w:type="dxa"/>
            <w:vAlign w:val="center"/>
          </w:tcPr>
          <w:p w14:paraId="569245C9" w14:textId="147CA16B" w:rsidR="0083078C" w:rsidRPr="001A341E" w:rsidRDefault="0083078C" w:rsidP="0083078C">
            <w:pPr>
              <w:rPr>
                <w:sz w:val="14"/>
                <w:szCs w:val="14"/>
              </w:rPr>
            </w:pPr>
            <w:r w:rsidRPr="001A341E">
              <w:rPr>
                <w:rFonts w:ascii="思源黑体" w:hAnsi="思源黑体"/>
                <w:sz w:val="14"/>
                <w:szCs w:val="14"/>
              </w:rPr>
              <w:t>MSH2</w:t>
            </w:r>
          </w:p>
        </w:tc>
        <w:tc>
          <w:tcPr>
            <w:tcW w:w="7369" w:type="dxa"/>
            <w:vMerge/>
            <w:vAlign w:val="center"/>
          </w:tcPr>
          <w:p w14:paraId="448C08A9" w14:textId="77777777" w:rsidR="0083078C" w:rsidRPr="001A341E" w:rsidRDefault="0083078C" w:rsidP="0083078C">
            <w:pPr>
              <w:rPr>
                <w:sz w:val="14"/>
                <w:szCs w:val="14"/>
              </w:rPr>
            </w:pPr>
          </w:p>
        </w:tc>
        <w:tc>
          <w:tcPr>
            <w:tcW w:w="1235" w:type="dxa"/>
            <w:vAlign w:val="center"/>
          </w:tcPr>
          <w:p w14:paraId="4B3510AA" w14:textId="62FAA40D" w:rsidR="0083078C" w:rsidRPr="001A341E" w:rsidRDefault="0083078C" w:rsidP="0083078C">
            <w:pPr>
              <w:rPr>
                <w:sz w:val="14"/>
                <w:szCs w:val="14"/>
              </w:rPr>
            </w:pPr>
          </w:p>
        </w:tc>
      </w:tr>
      <w:tr w:rsidR="00D860B5" w14:paraId="6382BC42" w14:textId="77777777" w:rsidTr="00D860B5">
        <w:tc>
          <w:tcPr>
            <w:tcW w:w="1126" w:type="dxa"/>
            <w:vAlign w:val="center"/>
          </w:tcPr>
          <w:p w14:paraId="502C49A7" w14:textId="6FB6E22D" w:rsidR="0083078C" w:rsidRPr="001A341E" w:rsidRDefault="0083078C" w:rsidP="0083078C">
            <w:pPr>
              <w:rPr>
                <w:sz w:val="14"/>
                <w:szCs w:val="14"/>
              </w:rPr>
            </w:pPr>
            <w:r w:rsidRPr="001A341E">
              <w:rPr>
                <w:rFonts w:ascii="思源黑体" w:hAnsi="思源黑体"/>
                <w:sz w:val="14"/>
                <w:szCs w:val="14"/>
              </w:rPr>
              <w:t>MSH6</w:t>
            </w:r>
          </w:p>
        </w:tc>
        <w:tc>
          <w:tcPr>
            <w:tcW w:w="7369" w:type="dxa"/>
            <w:vMerge/>
            <w:vAlign w:val="center"/>
          </w:tcPr>
          <w:p w14:paraId="4E126967" w14:textId="77777777" w:rsidR="0083078C" w:rsidRPr="001A341E" w:rsidRDefault="0083078C" w:rsidP="0083078C">
            <w:pPr>
              <w:rPr>
                <w:sz w:val="14"/>
                <w:szCs w:val="14"/>
              </w:rPr>
            </w:pPr>
          </w:p>
        </w:tc>
        <w:tc>
          <w:tcPr>
            <w:tcW w:w="1235" w:type="dxa"/>
            <w:vAlign w:val="center"/>
          </w:tcPr>
          <w:p w14:paraId="3362772D" w14:textId="4474783D" w:rsidR="0083078C" w:rsidRPr="001A341E" w:rsidRDefault="0083078C" w:rsidP="0083078C">
            <w:pPr>
              <w:rPr>
                <w:sz w:val="14"/>
                <w:szCs w:val="14"/>
              </w:rPr>
            </w:pPr>
          </w:p>
        </w:tc>
      </w:tr>
      <w:tr w:rsidR="00D860B5" w14:paraId="12D999FA" w14:textId="77777777" w:rsidTr="00D860B5">
        <w:tc>
          <w:tcPr>
            <w:tcW w:w="1126" w:type="dxa"/>
            <w:vAlign w:val="center"/>
          </w:tcPr>
          <w:p w14:paraId="297D11AF" w14:textId="34D75A4E" w:rsidR="0083078C" w:rsidRPr="001A341E" w:rsidRDefault="0083078C" w:rsidP="0083078C">
            <w:pPr>
              <w:rPr>
                <w:sz w:val="14"/>
                <w:szCs w:val="14"/>
              </w:rPr>
            </w:pPr>
            <w:r w:rsidRPr="001A341E">
              <w:rPr>
                <w:rFonts w:ascii="思源黑体" w:hAnsi="思源黑体"/>
                <w:sz w:val="14"/>
                <w:szCs w:val="14"/>
              </w:rPr>
              <w:t>PMS2</w:t>
            </w:r>
          </w:p>
        </w:tc>
        <w:tc>
          <w:tcPr>
            <w:tcW w:w="7369" w:type="dxa"/>
            <w:vMerge/>
            <w:vAlign w:val="center"/>
          </w:tcPr>
          <w:p w14:paraId="3E1C3B05" w14:textId="77777777" w:rsidR="0083078C" w:rsidRPr="001A341E" w:rsidRDefault="0083078C" w:rsidP="0083078C">
            <w:pPr>
              <w:rPr>
                <w:sz w:val="14"/>
                <w:szCs w:val="14"/>
              </w:rPr>
            </w:pPr>
          </w:p>
        </w:tc>
        <w:tc>
          <w:tcPr>
            <w:tcW w:w="1235" w:type="dxa"/>
            <w:vAlign w:val="center"/>
          </w:tcPr>
          <w:p w14:paraId="5C10FD7D" w14:textId="43359D1E" w:rsidR="0083078C" w:rsidRPr="001A341E" w:rsidRDefault="0083078C" w:rsidP="0083078C">
            <w:pPr>
              <w:rPr>
                <w:sz w:val="14"/>
                <w:szCs w:val="14"/>
              </w:rPr>
            </w:pPr>
          </w:p>
        </w:tc>
      </w:tr>
      <w:tr w:rsidR="00D860B5" w14:paraId="0227677B" w14:textId="77777777" w:rsidTr="00D860B5">
        <w:tc>
          <w:tcPr>
            <w:tcW w:w="1126" w:type="dxa"/>
            <w:vAlign w:val="center"/>
          </w:tcPr>
          <w:p w14:paraId="40F4BF12" w14:textId="350D5E08" w:rsidR="0083078C" w:rsidRPr="001A341E" w:rsidRDefault="0083078C" w:rsidP="0083078C">
            <w:pPr>
              <w:rPr>
                <w:sz w:val="14"/>
                <w:szCs w:val="14"/>
              </w:rPr>
            </w:pPr>
            <w:r w:rsidRPr="001A341E">
              <w:rPr>
                <w:rFonts w:ascii="思源黑体" w:hAnsi="思源黑体"/>
                <w:sz w:val="14"/>
                <w:szCs w:val="14"/>
              </w:rPr>
              <w:t>特定基因变异</w:t>
            </w:r>
          </w:p>
        </w:tc>
        <w:tc>
          <w:tcPr>
            <w:tcW w:w="7369" w:type="dxa"/>
            <w:vAlign w:val="center"/>
          </w:tcPr>
          <w:p w14:paraId="0852F8AC" w14:textId="5CDD3BF6" w:rsidR="0083078C" w:rsidRPr="001A341E" w:rsidRDefault="0083078C" w:rsidP="0083078C">
            <w:pPr>
              <w:rPr>
                <w:sz w:val="14"/>
                <w:szCs w:val="14"/>
              </w:rPr>
            </w:pPr>
            <w:r w:rsidRPr="001A341E">
              <w:rPr>
                <w:rFonts w:ascii="思源黑体" w:hAnsi="思源黑体"/>
                <w:sz w:val="14"/>
                <w:szCs w:val="14"/>
              </w:rPr>
              <w:t>特定基因的突变可能影响肿瘤细胞逃避免疫监视的能力。在不同肿瘤中免疫相关的特定的基因变异，如STK11/LKB1、POLE的激活突变、B2M的杂合性缺失等，可预测免疫治疗应答率。</w:t>
            </w:r>
            <w:proofErr w:type="spellStart"/>
            <w:r w:rsidRPr="001A341E">
              <w:rPr>
                <w:rFonts w:ascii="思源黑体" w:hAnsi="思源黑体"/>
                <w:sz w:val="14"/>
                <w:szCs w:val="14"/>
              </w:rPr>
              <w:t>Wnt</w:t>
            </w:r>
            <w:proofErr w:type="spellEnd"/>
            <w:r w:rsidRPr="001A341E">
              <w:rPr>
                <w:rFonts w:ascii="思源黑体" w:hAnsi="思源黑体"/>
                <w:sz w:val="14"/>
                <w:szCs w:val="14"/>
              </w:rPr>
              <w:t>/CTNNB1突变是肝细胞癌免疫排斥亚型的特征，具有</w:t>
            </w:r>
            <w:proofErr w:type="spellStart"/>
            <w:r w:rsidRPr="001A341E">
              <w:rPr>
                <w:rFonts w:ascii="思源黑体" w:hAnsi="思源黑体"/>
                <w:sz w:val="14"/>
                <w:szCs w:val="14"/>
              </w:rPr>
              <w:t>Wnt</w:t>
            </w:r>
            <w:proofErr w:type="spellEnd"/>
            <w:r w:rsidRPr="001A341E">
              <w:rPr>
                <w:rFonts w:ascii="思源黑体" w:hAnsi="思源黑体"/>
                <w:sz w:val="14"/>
                <w:szCs w:val="14"/>
              </w:rPr>
              <w:t>-β-catenin通路突变的肝细胞癌患者对免疫检查点抑制剂治疗耐药，其患者中位生存期较短（突变患者为9.1个月，为突变患者15.2个月）。</w:t>
            </w:r>
          </w:p>
        </w:tc>
        <w:tc>
          <w:tcPr>
            <w:tcW w:w="1235" w:type="dxa"/>
            <w:shd w:val="clear" w:color="auto" w:fill="F2F2F2" w:themeFill="background1" w:themeFillShade="F2"/>
            <w:vAlign w:val="center"/>
          </w:tcPr>
          <w:p w14:paraId="721A9DDF" w14:textId="2E522B27" w:rsidR="0083078C" w:rsidRPr="001A341E" w:rsidRDefault="0083078C" w:rsidP="0083078C">
            <w:pPr>
              <w:rPr>
                <w:sz w:val="14"/>
                <w:szCs w:val="14"/>
              </w:rPr>
            </w:pPr>
            <w:r w:rsidRPr="001A341E">
              <w:rPr>
                <w:rFonts w:ascii="思源黑体" w:hAnsi="思源黑体"/>
                <w:sz w:val="14"/>
                <w:szCs w:val="14"/>
              </w:rPr>
              <w:t>详见本报告免疫治疗章节</w:t>
            </w:r>
          </w:p>
        </w:tc>
      </w:tr>
    </w:tbl>
    <w:p w14:paraId="69ECBCA3" w14:textId="77777777" w:rsidR="0083078C" w:rsidRDefault="0083078C" w:rsidP="0083078C">
      <w:pPr>
        <w:pStyle w:val="030"/>
      </w:pPr>
      <w:r>
        <w:rPr>
          <w:rFonts w:hint="eastAsia"/>
        </w:rPr>
        <w:t>专家推荐意见</w:t>
      </w:r>
    </w:p>
    <w:p w14:paraId="318B3409" w14:textId="445806D9" w:rsidR="00D860B5" w:rsidRPr="00D860B5" w:rsidRDefault="0083078C" w:rsidP="00D860B5">
      <w:pPr>
        <w:pStyle w:val="4detectdetailmsi"/>
      </w:pPr>
      <w:r w:rsidRPr="00D860B5">
        <w:rPr>
          <w:rFonts w:hint="eastAsia"/>
        </w:rPr>
        <w:t>所有标志物的检测，仅为肝胆肿瘤靶向和</w:t>
      </w:r>
      <w:r w:rsidRPr="00D860B5">
        <w:rPr>
          <w:rFonts w:hint="eastAsia"/>
        </w:rPr>
        <w:t>/</w:t>
      </w:r>
      <w:r w:rsidRPr="00D860B5">
        <w:rPr>
          <w:rFonts w:hint="eastAsia"/>
        </w:rPr>
        <w:t>或免疫治疗提供临床参考。由于肝胆肿瘤基因异质性、个体差异性、免疫微环境等多种影响因素存在，即使是由具有分子生物学背景、临床经验丰富的资深医师指导治疗，亦无法保证所有患者的临床获益。迫切需要开展多中心、大规模临床试验，以明确肝胆肿瘤靶向和</w:t>
      </w:r>
      <w:r w:rsidRPr="00D860B5">
        <w:rPr>
          <w:rFonts w:hint="eastAsia"/>
        </w:rPr>
        <w:t>/</w:t>
      </w:r>
      <w:r w:rsidRPr="00D860B5">
        <w:rPr>
          <w:rFonts w:hint="eastAsia"/>
        </w:rPr>
        <w:t>或免疫治疗过程中的有效分子标志物。</w:t>
      </w:r>
      <w:bookmarkStart w:id="0" w:name="_GoBack"/>
      <w:bookmarkEnd w:id="0"/>
    </w:p>
    <w:sectPr w:rsidR="00D860B5" w:rsidRPr="00D860B5" w:rsidSect="00102720">
      <w:pgSz w:w="11906" w:h="16838"/>
      <w:pgMar w:top="1440" w:right="1083" w:bottom="1440" w:left="1083" w:header="851" w:footer="992" w:gutter="0"/>
      <w:cols w:space="720"/>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A70AD4" w14:textId="77777777" w:rsidR="0060607A" w:rsidRDefault="0060607A">
      <w:r>
        <w:separator/>
      </w:r>
    </w:p>
  </w:endnote>
  <w:endnote w:type="continuationSeparator" w:id="0">
    <w:p w14:paraId="48B92ABB" w14:textId="77777777" w:rsidR="0060607A" w:rsidRDefault="00606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思源黑体">
    <w:altName w:val="微软雅黑"/>
    <w:charset w:val="86"/>
    <w:family w:val="swiss"/>
    <w:pitch w:val="default"/>
    <w:sig w:usb0="00000001" w:usb1="080E0000" w:usb2="00000016" w:usb3="00000000" w:csb0="002E0107" w:csb1="00000000"/>
  </w:font>
  <w:font w:name="Calibri Light">
    <w:panose1 w:val="020F0302020204030204"/>
    <w:charset w:val="00"/>
    <w:family w:val="auto"/>
    <w:pitch w:val="variable"/>
    <w:sig w:usb0="A00002EF" w:usb1="4000207B" w:usb2="00000000" w:usb3="00000000" w:csb0="0000019F" w:csb1="00000000"/>
  </w:font>
  <w:font w:name="微软雅黑">
    <w:charset w:val="86"/>
    <w:family w:val="auto"/>
    <w:pitch w:val="variable"/>
    <w:sig w:usb0="80000287" w:usb1="28CF3C52" w:usb2="00000016" w:usb3="00000000" w:csb0="0004001F" w:csb1="00000000"/>
  </w:font>
  <w:font w:name="Calibri">
    <w:panose1 w:val="020F0502020204030204"/>
    <w:charset w:val="00"/>
    <w:family w:val="auto"/>
    <w:pitch w:val="variable"/>
    <w:sig w:usb0="E00002FF" w:usb1="4000ACFF" w:usb2="00000001" w:usb3="00000000" w:csb0="0000019F" w:csb1="00000000"/>
  </w:font>
  <w:font w:name="思源黑体 Light">
    <w:altName w:val="微软雅黑"/>
    <w:charset w:val="86"/>
    <w:family w:val="swiss"/>
    <w:pitch w:val="default"/>
    <w:sig w:usb0="00000001" w:usb1="080E0000" w:usb2="00000016" w:usb3="00000000" w:csb0="002E0107" w:csb1="00000000"/>
  </w:font>
  <w:font w:name="黑体">
    <w:charset w:val="86"/>
    <w:family w:val="auto"/>
    <w:pitch w:val="variable"/>
    <w:sig w:usb0="800002BF" w:usb1="38CF7CFA" w:usb2="00000016" w:usb3="00000000" w:csb0="00040001" w:csb1="00000000"/>
  </w:font>
  <w:font w:name="思源黑体 Medium">
    <w:altName w:val="Arial Unicode MS"/>
    <w:panose1 w:val="00000000000000000000"/>
    <w:charset w:val="86"/>
    <w:family w:val="swiss"/>
    <w:notTrueType/>
    <w:pitch w:val="variable"/>
    <w:sig w:usb0="30000287" w:usb1="2BDF3C10" w:usb2="00000016" w:usb3="00000000" w:csb0="002E01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856A0" w14:textId="77777777" w:rsidR="0060607A" w:rsidRDefault="0060607A">
      <w:r>
        <w:separator/>
      </w:r>
    </w:p>
  </w:footnote>
  <w:footnote w:type="continuationSeparator" w:id="0">
    <w:p w14:paraId="221B1221" w14:textId="77777777" w:rsidR="0060607A" w:rsidRDefault="006060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0A5E40A"/>
    <w:multiLevelType w:val="singleLevel"/>
    <w:tmpl w:val="E0A5E40A"/>
    <w:lvl w:ilvl="0">
      <w:start w:val="1"/>
      <w:numFmt w:val="decimal"/>
      <w:suff w:val="space"/>
      <w:lvlText w:val="%1."/>
      <w:lvlJc w:val="left"/>
    </w:lvl>
  </w:abstractNum>
  <w:abstractNum w:abstractNumId="1">
    <w:nsid w:val="FFFFFF1D"/>
    <w:multiLevelType w:val="multilevel"/>
    <w:tmpl w:val="740EC84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0DF523DF"/>
    <w:multiLevelType w:val="hybridMultilevel"/>
    <w:tmpl w:val="868ACF6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pStyle w:val="0"/>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1F1937B6"/>
    <w:multiLevelType w:val="multilevel"/>
    <w:tmpl w:val="813EA726"/>
    <w:lvl w:ilvl="0">
      <w:start w:val="1"/>
      <w:numFmt w:val="bullet"/>
      <w:pStyle w:val="3detectresult1"/>
      <w:lvlText w:val=""/>
      <w:lvlJc w:val="left"/>
      <w:pPr>
        <w:ind w:left="420" w:hanging="420"/>
      </w:pPr>
      <w:rPr>
        <w:rFonts w:ascii="Wingdings" w:hAnsi="Wingdings" w:hint="default"/>
      </w:rPr>
    </w:lvl>
    <w:lvl w:ilvl="1">
      <w:start w:val="1"/>
      <w:numFmt w:val="bullet"/>
      <w:pStyle w:val="3detectresult3"/>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222D57D0"/>
    <w:multiLevelType w:val="hybridMultilevel"/>
    <w:tmpl w:val="57805612"/>
    <w:lvl w:ilvl="0" w:tplc="6F70B198">
      <w:start w:val="1"/>
      <w:numFmt w:val="bullet"/>
      <w:pStyle w:val="00"/>
      <w:lvlText w:val=""/>
      <w:lvlJc w:val="left"/>
      <w:pPr>
        <w:ind w:left="420" w:hanging="420"/>
      </w:pPr>
      <w:rPr>
        <w:rFonts w:ascii="Webdings" w:hAnsi="Webdings" w:hint="default"/>
      </w:rPr>
    </w:lvl>
    <w:lvl w:ilvl="1" w:tplc="94A87FA2">
      <w:start w:val="1"/>
      <w:numFmt w:val="bullet"/>
      <w:pStyle w:val="01"/>
      <w:lvlText w:val="-"/>
      <w:lvlJc w:val="left"/>
      <w:pPr>
        <w:ind w:left="840" w:hanging="420"/>
      </w:pPr>
      <w:rPr>
        <w:rFonts w:ascii="等线" w:eastAsia="等线" w:hAnsi="等线"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8865642"/>
    <w:multiLevelType w:val="multilevel"/>
    <w:tmpl w:val="2886564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2A827F7D"/>
    <w:multiLevelType w:val="multilevel"/>
    <w:tmpl w:val="3A576D6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334A685D"/>
    <w:multiLevelType w:val="hybridMultilevel"/>
    <w:tmpl w:val="8138DC0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A576D6F"/>
    <w:multiLevelType w:val="multilevel"/>
    <w:tmpl w:val="06BCA4A2"/>
    <w:lvl w:ilvl="0">
      <w:start w:val="1"/>
      <w:numFmt w:val="decimal"/>
      <w:pStyle w:val="5reference"/>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E487788"/>
    <w:multiLevelType w:val="hybridMultilevel"/>
    <w:tmpl w:val="C9A68C8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CB263F9"/>
    <w:multiLevelType w:val="hybridMultilevel"/>
    <w:tmpl w:val="15800DC0"/>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D707F4F"/>
    <w:multiLevelType w:val="multilevel"/>
    <w:tmpl w:val="F3AC9B7A"/>
    <w:lvl w:ilvl="0">
      <w:start w:val="1"/>
      <w:numFmt w:val="bullet"/>
      <w:pStyle w:val="0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2"/>
  </w:num>
  <w:num w:numId="3">
    <w:abstractNumId w:val="6"/>
  </w:num>
  <w:num w:numId="4">
    <w:abstractNumId w:val="4"/>
  </w:num>
  <w:num w:numId="5">
    <w:abstractNumId w:val="9"/>
  </w:num>
  <w:num w:numId="6">
    <w:abstractNumId w:val="10"/>
  </w:num>
  <w:num w:numId="7">
    <w:abstractNumId w:val="8"/>
  </w:num>
  <w:num w:numId="8">
    <w:abstractNumId w:val="8"/>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 w:numId="12">
    <w:abstractNumId w:val="11"/>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bordersDoNotSurroundHeader/>
  <w:bordersDoNotSurroundFooter/>
  <w:proofState w:spelling="clean" w:grammar="clean"/>
  <w:defaultTabStop w:val="420"/>
  <w:drawingGridHorizontalSpacing w:val="80"/>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D13"/>
    <w:rsid w:val="00011220"/>
    <w:rsid w:val="00013953"/>
    <w:rsid w:val="000175B6"/>
    <w:rsid w:val="00022AFA"/>
    <w:rsid w:val="000250B7"/>
    <w:rsid w:val="000276C6"/>
    <w:rsid w:val="00027C10"/>
    <w:rsid w:val="00032465"/>
    <w:rsid w:val="0003528D"/>
    <w:rsid w:val="0004057C"/>
    <w:rsid w:val="00042BDD"/>
    <w:rsid w:val="00043CEB"/>
    <w:rsid w:val="00044671"/>
    <w:rsid w:val="000500E0"/>
    <w:rsid w:val="00051944"/>
    <w:rsid w:val="00057540"/>
    <w:rsid w:val="00065E8C"/>
    <w:rsid w:val="00066BC3"/>
    <w:rsid w:val="00076D02"/>
    <w:rsid w:val="00085669"/>
    <w:rsid w:val="00092CDF"/>
    <w:rsid w:val="000A1973"/>
    <w:rsid w:val="000B328D"/>
    <w:rsid w:val="000B422B"/>
    <w:rsid w:val="000B5808"/>
    <w:rsid w:val="000B627A"/>
    <w:rsid w:val="000C3C52"/>
    <w:rsid w:val="000C4E79"/>
    <w:rsid w:val="000C4F9B"/>
    <w:rsid w:val="000E3D07"/>
    <w:rsid w:val="000F0C55"/>
    <w:rsid w:val="000F0CE2"/>
    <w:rsid w:val="00100AC5"/>
    <w:rsid w:val="00102720"/>
    <w:rsid w:val="00104C26"/>
    <w:rsid w:val="001149B6"/>
    <w:rsid w:val="00115BCC"/>
    <w:rsid w:val="00116E17"/>
    <w:rsid w:val="001217FD"/>
    <w:rsid w:val="00121B36"/>
    <w:rsid w:val="0012372E"/>
    <w:rsid w:val="00126259"/>
    <w:rsid w:val="001315DE"/>
    <w:rsid w:val="00141DF1"/>
    <w:rsid w:val="00147287"/>
    <w:rsid w:val="00151645"/>
    <w:rsid w:val="00151E56"/>
    <w:rsid w:val="001651AE"/>
    <w:rsid w:val="00173B1E"/>
    <w:rsid w:val="00174F29"/>
    <w:rsid w:val="00175D34"/>
    <w:rsid w:val="0018451F"/>
    <w:rsid w:val="001858DD"/>
    <w:rsid w:val="00185F65"/>
    <w:rsid w:val="00190508"/>
    <w:rsid w:val="00193CA1"/>
    <w:rsid w:val="00194C26"/>
    <w:rsid w:val="001A341E"/>
    <w:rsid w:val="001A4C46"/>
    <w:rsid w:val="001C1D4C"/>
    <w:rsid w:val="001C4EC3"/>
    <w:rsid w:val="001D4586"/>
    <w:rsid w:val="001D48F4"/>
    <w:rsid w:val="001D718F"/>
    <w:rsid w:val="001E56EA"/>
    <w:rsid w:val="001E6E9B"/>
    <w:rsid w:val="001E6F2E"/>
    <w:rsid w:val="001E757C"/>
    <w:rsid w:val="001F336C"/>
    <w:rsid w:val="00201944"/>
    <w:rsid w:val="002103BD"/>
    <w:rsid w:val="00222CCB"/>
    <w:rsid w:val="00223BE9"/>
    <w:rsid w:val="002278A7"/>
    <w:rsid w:val="00232CA5"/>
    <w:rsid w:val="00233494"/>
    <w:rsid w:val="00237F4D"/>
    <w:rsid w:val="002536B5"/>
    <w:rsid w:val="00254173"/>
    <w:rsid w:val="002637E9"/>
    <w:rsid w:val="002807A6"/>
    <w:rsid w:val="002877A6"/>
    <w:rsid w:val="00287D45"/>
    <w:rsid w:val="00290B77"/>
    <w:rsid w:val="00293E4E"/>
    <w:rsid w:val="002962F3"/>
    <w:rsid w:val="002A2966"/>
    <w:rsid w:val="002A580D"/>
    <w:rsid w:val="002A720F"/>
    <w:rsid w:val="002B25C9"/>
    <w:rsid w:val="002C0641"/>
    <w:rsid w:val="002C4172"/>
    <w:rsid w:val="002D6130"/>
    <w:rsid w:val="002D6637"/>
    <w:rsid w:val="002E32A6"/>
    <w:rsid w:val="002E4BA0"/>
    <w:rsid w:val="002E6439"/>
    <w:rsid w:val="002F3D40"/>
    <w:rsid w:val="002F437B"/>
    <w:rsid w:val="00301A90"/>
    <w:rsid w:val="0030771F"/>
    <w:rsid w:val="003202A6"/>
    <w:rsid w:val="003207AF"/>
    <w:rsid w:val="00323BB6"/>
    <w:rsid w:val="0032615E"/>
    <w:rsid w:val="00326C10"/>
    <w:rsid w:val="00342620"/>
    <w:rsid w:val="00342EBA"/>
    <w:rsid w:val="00345CAD"/>
    <w:rsid w:val="00346321"/>
    <w:rsid w:val="003552FF"/>
    <w:rsid w:val="0035539D"/>
    <w:rsid w:val="00355FAE"/>
    <w:rsid w:val="00360345"/>
    <w:rsid w:val="003647D6"/>
    <w:rsid w:val="003744C9"/>
    <w:rsid w:val="003754D8"/>
    <w:rsid w:val="00377C07"/>
    <w:rsid w:val="00386DD4"/>
    <w:rsid w:val="003A571D"/>
    <w:rsid w:val="003C041A"/>
    <w:rsid w:val="003C0E6C"/>
    <w:rsid w:val="003C59D7"/>
    <w:rsid w:val="003C7740"/>
    <w:rsid w:val="003D5841"/>
    <w:rsid w:val="003E16EA"/>
    <w:rsid w:val="003F2699"/>
    <w:rsid w:val="003F3ABC"/>
    <w:rsid w:val="00407C35"/>
    <w:rsid w:val="00410087"/>
    <w:rsid w:val="004163A3"/>
    <w:rsid w:val="004266D6"/>
    <w:rsid w:val="00431E92"/>
    <w:rsid w:val="00433EAB"/>
    <w:rsid w:val="00437E68"/>
    <w:rsid w:val="00454E75"/>
    <w:rsid w:val="00461199"/>
    <w:rsid w:val="00462174"/>
    <w:rsid w:val="00462C9B"/>
    <w:rsid w:val="00467992"/>
    <w:rsid w:val="00472C8F"/>
    <w:rsid w:val="00480835"/>
    <w:rsid w:val="00482886"/>
    <w:rsid w:val="0048565B"/>
    <w:rsid w:val="00492091"/>
    <w:rsid w:val="00497CC4"/>
    <w:rsid w:val="004A04FE"/>
    <w:rsid w:val="004A316F"/>
    <w:rsid w:val="004A37CF"/>
    <w:rsid w:val="004A3A02"/>
    <w:rsid w:val="004C0431"/>
    <w:rsid w:val="004D0D34"/>
    <w:rsid w:val="004D39FA"/>
    <w:rsid w:val="004D4E7B"/>
    <w:rsid w:val="004D6B6C"/>
    <w:rsid w:val="004E099F"/>
    <w:rsid w:val="004E21C8"/>
    <w:rsid w:val="004E25FF"/>
    <w:rsid w:val="004E6882"/>
    <w:rsid w:val="004F50DA"/>
    <w:rsid w:val="00503DC7"/>
    <w:rsid w:val="00504746"/>
    <w:rsid w:val="00507D3C"/>
    <w:rsid w:val="0051147F"/>
    <w:rsid w:val="00512ABA"/>
    <w:rsid w:val="005173DE"/>
    <w:rsid w:val="00531457"/>
    <w:rsid w:val="005349A6"/>
    <w:rsid w:val="00537BB6"/>
    <w:rsid w:val="00541343"/>
    <w:rsid w:val="00541E68"/>
    <w:rsid w:val="0054459C"/>
    <w:rsid w:val="005461D8"/>
    <w:rsid w:val="00547932"/>
    <w:rsid w:val="00547A2B"/>
    <w:rsid w:val="005505A1"/>
    <w:rsid w:val="00562149"/>
    <w:rsid w:val="00563F20"/>
    <w:rsid w:val="00571AE3"/>
    <w:rsid w:val="00575DD6"/>
    <w:rsid w:val="00577E48"/>
    <w:rsid w:val="00585B0A"/>
    <w:rsid w:val="00590574"/>
    <w:rsid w:val="00595E78"/>
    <w:rsid w:val="00596425"/>
    <w:rsid w:val="00597C59"/>
    <w:rsid w:val="005A179E"/>
    <w:rsid w:val="005A3DDF"/>
    <w:rsid w:val="005A453B"/>
    <w:rsid w:val="005B0393"/>
    <w:rsid w:val="005B6CFF"/>
    <w:rsid w:val="005B744A"/>
    <w:rsid w:val="005C283E"/>
    <w:rsid w:val="005D2529"/>
    <w:rsid w:val="005D46AB"/>
    <w:rsid w:val="005E14A6"/>
    <w:rsid w:val="005F213C"/>
    <w:rsid w:val="005F36FE"/>
    <w:rsid w:val="005F6B3C"/>
    <w:rsid w:val="00600B00"/>
    <w:rsid w:val="0060607A"/>
    <w:rsid w:val="006062F0"/>
    <w:rsid w:val="00606E82"/>
    <w:rsid w:val="00617408"/>
    <w:rsid w:val="00621B77"/>
    <w:rsid w:val="00625AA1"/>
    <w:rsid w:val="0062640D"/>
    <w:rsid w:val="006323D0"/>
    <w:rsid w:val="00632D0A"/>
    <w:rsid w:val="006369F6"/>
    <w:rsid w:val="00637C6B"/>
    <w:rsid w:val="00680F45"/>
    <w:rsid w:val="00684A1F"/>
    <w:rsid w:val="00685C38"/>
    <w:rsid w:val="00691B88"/>
    <w:rsid w:val="00697120"/>
    <w:rsid w:val="006A23D5"/>
    <w:rsid w:val="006C01D2"/>
    <w:rsid w:val="006C5C3E"/>
    <w:rsid w:val="006C62A0"/>
    <w:rsid w:val="006D137C"/>
    <w:rsid w:val="006D5D67"/>
    <w:rsid w:val="006D737B"/>
    <w:rsid w:val="006E4908"/>
    <w:rsid w:val="006F03FD"/>
    <w:rsid w:val="006F14C5"/>
    <w:rsid w:val="00722C9E"/>
    <w:rsid w:val="007243E8"/>
    <w:rsid w:val="00724DAF"/>
    <w:rsid w:val="0074300B"/>
    <w:rsid w:val="0076315B"/>
    <w:rsid w:val="007674B1"/>
    <w:rsid w:val="00767E15"/>
    <w:rsid w:val="00774386"/>
    <w:rsid w:val="00782A06"/>
    <w:rsid w:val="007839A5"/>
    <w:rsid w:val="0078467D"/>
    <w:rsid w:val="0078533E"/>
    <w:rsid w:val="007859DB"/>
    <w:rsid w:val="00795ACF"/>
    <w:rsid w:val="0079659A"/>
    <w:rsid w:val="007B0635"/>
    <w:rsid w:val="007C377C"/>
    <w:rsid w:val="007C7DCA"/>
    <w:rsid w:val="007D4C56"/>
    <w:rsid w:val="007E0D4B"/>
    <w:rsid w:val="007E0DD7"/>
    <w:rsid w:val="007E2A35"/>
    <w:rsid w:val="007E6983"/>
    <w:rsid w:val="007F68FA"/>
    <w:rsid w:val="007F7CA4"/>
    <w:rsid w:val="00801E64"/>
    <w:rsid w:val="008024BB"/>
    <w:rsid w:val="008116BD"/>
    <w:rsid w:val="00817747"/>
    <w:rsid w:val="00823020"/>
    <w:rsid w:val="0083078C"/>
    <w:rsid w:val="0084270B"/>
    <w:rsid w:val="0085038C"/>
    <w:rsid w:val="008523CA"/>
    <w:rsid w:val="00852B3A"/>
    <w:rsid w:val="008678E8"/>
    <w:rsid w:val="00874DCC"/>
    <w:rsid w:val="00880A84"/>
    <w:rsid w:val="0088771B"/>
    <w:rsid w:val="008953FB"/>
    <w:rsid w:val="008A0AF3"/>
    <w:rsid w:val="008A279A"/>
    <w:rsid w:val="008A34A8"/>
    <w:rsid w:val="008B2381"/>
    <w:rsid w:val="008B5EFF"/>
    <w:rsid w:val="008B712E"/>
    <w:rsid w:val="008D1431"/>
    <w:rsid w:val="008E50A0"/>
    <w:rsid w:val="008F1608"/>
    <w:rsid w:val="008F1E2F"/>
    <w:rsid w:val="008F2479"/>
    <w:rsid w:val="00903276"/>
    <w:rsid w:val="00914887"/>
    <w:rsid w:val="009319A3"/>
    <w:rsid w:val="00931AE6"/>
    <w:rsid w:val="00933360"/>
    <w:rsid w:val="00935D90"/>
    <w:rsid w:val="00937A9D"/>
    <w:rsid w:val="00947B8D"/>
    <w:rsid w:val="009543CF"/>
    <w:rsid w:val="009567F9"/>
    <w:rsid w:val="00960ECB"/>
    <w:rsid w:val="00961BB2"/>
    <w:rsid w:val="0096411F"/>
    <w:rsid w:val="00965F1F"/>
    <w:rsid w:val="00967712"/>
    <w:rsid w:val="00971B4F"/>
    <w:rsid w:val="0097228D"/>
    <w:rsid w:val="0098167D"/>
    <w:rsid w:val="0098210D"/>
    <w:rsid w:val="00992283"/>
    <w:rsid w:val="00993336"/>
    <w:rsid w:val="009A1374"/>
    <w:rsid w:val="009B45BB"/>
    <w:rsid w:val="009B6C1F"/>
    <w:rsid w:val="009C11E6"/>
    <w:rsid w:val="009C408B"/>
    <w:rsid w:val="009D54E5"/>
    <w:rsid w:val="009E0ADA"/>
    <w:rsid w:val="009E341D"/>
    <w:rsid w:val="009E4CE4"/>
    <w:rsid w:val="009E6CDD"/>
    <w:rsid w:val="009E6D70"/>
    <w:rsid w:val="009F0C96"/>
    <w:rsid w:val="00A05E4D"/>
    <w:rsid w:val="00A06EC1"/>
    <w:rsid w:val="00A138FA"/>
    <w:rsid w:val="00A21664"/>
    <w:rsid w:val="00A21832"/>
    <w:rsid w:val="00A2389E"/>
    <w:rsid w:val="00A241EE"/>
    <w:rsid w:val="00A2599E"/>
    <w:rsid w:val="00A25AC1"/>
    <w:rsid w:val="00A45E21"/>
    <w:rsid w:val="00A45E68"/>
    <w:rsid w:val="00A50F35"/>
    <w:rsid w:val="00A55369"/>
    <w:rsid w:val="00A560A5"/>
    <w:rsid w:val="00A614AB"/>
    <w:rsid w:val="00A75162"/>
    <w:rsid w:val="00A76D5F"/>
    <w:rsid w:val="00A873AC"/>
    <w:rsid w:val="00A902AF"/>
    <w:rsid w:val="00A91C7D"/>
    <w:rsid w:val="00A9294D"/>
    <w:rsid w:val="00AA110E"/>
    <w:rsid w:val="00AA43F7"/>
    <w:rsid w:val="00AB276F"/>
    <w:rsid w:val="00AB4040"/>
    <w:rsid w:val="00AC1EA8"/>
    <w:rsid w:val="00AC40F5"/>
    <w:rsid w:val="00AC561E"/>
    <w:rsid w:val="00AD2477"/>
    <w:rsid w:val="00AD4FFF"/>
    <w:rsid w:val="00AE1EDE"/>
    <w:rsid w:val="00AE6CE2"/>
    <w:rsid w:val="00AF3017"/>
    <w:rsid w:val="00B01D13"/>
    <w:rsid w:val="00B04C2A"/>
    <w:rsid w:val="00B114D0"/>
    <w:rsid w:val="00B139D1"/>
    <w:rsid w:val="00B14D51"/>
    <w:rsid w:val="00B15F16"/>
    <w:rsid w:val="00B23E63"/>
    <w:rsid w:val="00B240FE"/>
    <w:rsid w:val="00B37189"/>
    <w:rsid w:val="00B37A30"/>
    <w:rsid w:val="00B401F6"/>
    <w:rsid w:val="00B52075"/>
    <w:rsid w:val="00B5358C"/>
    <w:rsid w:val="00B55E80"/>
    <w:rsid w:val="00B61420"/>
    <w:rsid w:val="00B738D3"/>
    <w:rsid w:val="00B741B8"/>
    <w:rsid w:val="00B8085C"/>
    <w:rsid w:val="00B80DBD"/>
    <w:rsid w:val="00B83CF0"/>
    <w:rsid w:val="00B87779"/>
    <w:rsid w:val="00B92F4A"/>
    <w:rsid w:val="00B93E2C"/>
    <w:rsid w:val="00B96143"/>
    <w:rsid w:val="00B96D37"/>
    <w:rsid w:val="00B97F3E"/>
    <w:rsid w:val="00BA4472"/>
    <w:rsid w:val="00BA73D0"/>
    <w:rsid w:val="00BB15BC"/>
    <w:rsid w:val="00BB1B4B"/>
    <w:rsid w:val="00BB2EC4"/>
    <w:rsid w:val="00BB3C7D"/>
    <w:rsid w:val="00BB7666"/>
    <w:rsid w:val="00BC2CAB"/>
    <w:rsid w:val="00BD2060"/>
    <w:rsid w:val="00BD5413"/>
    <w:rsid w:val="00BE02E9"/>
    <w:rsid w:val="00BF5252"/>
    <w:rsid w:val="00C04099"/>
    <w:rsid w:val="00C0500A"/>
    <w:rsid w:val="00C1789D"/>
    <w:rsid w:val="00C178DE"/>
    <w:rsid w:val="00C243DB"/>
    <w:rsid w:val="00C33EEF"/>
    <w:rsid w:val="00C34D22"/>
    <w:rsid w:val="00C36257"/>
    <w:rsid w:val="00C409D5"/>
    <w:rsid w:val="00C44743"/>
    <w:rsid w:val="00C45EC1"/>
    <w:rsid w:val="00C551CB"/>
    <w:rsid w:val="00C5719F"/>
    <w:rsid w:val="00C63D98"/>
    <w:rsid w:val="00C655E7"/>
    <w:rsid w:val="00C7040D"/>
    <w:rsid w:val="00C733CF"/>
    <w:rsid w:val="00C830B1"/>
    <w:rsid w:val="00C91124"/>
    <w:rsid w:val="00C919D0"/>
    <w:rsid w:val="00CA0BA5"/>
    <w:rsid w:val="00CA5B54"/>
    <w:rsid w:val="00CB2A28"/>
    <w:rsid w:val="00CB475E"/>
    <w:rsid w:val="00CC59ED"/>
    <w:rsid w:val="00CD0C1B"/>
    <w:rsid w:val="00CD1C4A"/>
    <w:rsid w:val="00CD2DA8"/>
    <w:rsid w:val="00CD42E5"/>
    <w:rsid w:val="00CD5C95"/>
    <w:rsid w:val="00CE1333"/>
    <w:rsid w:val="00CE6ED7"/>
    <w:rsid w:val="00CE7736"/>
    <w:rsid w:val="00CF52B5"/>
    <w:rsid w:val="00CF7900"/>
    <w:rsid w:val="00D01B34"/>
    <w:rsid w:val="00D04825"/>
    <w:rsid w:val="00D04B39"/>
    <w:rsid w:val="00D06CFE"/>
    <w:rsid w:val="00D1677E"/>
    <w:rsid w:val="00D23555"/>
    <w:rsid w:val="00D23736"/>
    <w:rsid w:val="00D2604D"/>
    <w:rsid w:val="00D273C4"/>
    <w:rsid w:val="00D3232C"/>
    <w:rsid w:val="00D47862"/>
    <w:rsid w:val="00D52A6F"/>
    <w:rsid w:val="00D549C7"/>
    <w:rsid w:val="00D56F56"/>
    <w:rsid w:val="00D573AB"/>
    <w:rsid w:val="00D675CB"/>
    <w:rsid w:val="00D74298"/>
    <w:rsid w:val="00D76647"/>
    <w:rsid w:val="00D77428"/>
    <w:rsid w:val="00D8033C"/>
    <w:rsid w:val="00D8324F"/>
    <w:rsid w:val="00D85899"/>
    <w:rsid w:val="00D860B5"/>
    <w:rsid w:val="00D94977"/>
    <w:rsid w:val="00D95C60"/>
    <w:rsid w:val="00D960DA"/>
    <w:rsid w:val="00DA76CF"/>
    <w:rsid w:val="00DB2798"/>
    <w:rsid w:val="00DC6551"/>
    <w:rsid w:val="00DC699D"/>
    <w:rsid w:val="00DC6C6C"/>
    <w:rsid w:val="00DD4500"/>
    <w:rsid w:val="00DD66CE"/>
    <w:rsid w:val="00DD6751"/>
    <w:rsid w:val="00DD7C22"/>
    <w:rsid w:val="00DE47CC"/>
    <w:rsid w:val="00DE5704"/>
    <w:rsid w:val="00E00E3B"/>
    <w:rsid w:val="00E0126D"/>
    <w:rsid w:val="00E047E7"/>
    <w:rsid w:val="00E04AA4"/>
    <w:rsid w:val="00E10B8C"/>
    <w:rsid w:val="00E12DC6"/>
    <w:rsid w:val="00E20B2B"/>
    <w:rsid w:val="00E27B8E"/>
    <w:rsid w:val="00E31A71"/>
    <w:rsid w:val="00E406C5"/>
    <w:rsid w:val="00E41A16"/>
    <w:rsid w:val="00E46AEE"/>
    <w:rsid w:val="00E54A6D"/>
    <w:rsid w:val="00E63FCC"/>
    <w:rsid w:val="00E71168"/>
    <w:rsid w:val="00E720F3"/>
    <w:rsid w:val="00E80372"/>
    <w:rsid w:val="00E8076B"/>
    <w:rsid w:val="00E81EBC"/>
    <w:rsid w:val="00E82196"/>
    <w:rsid w:val="00E905C5"/>
    <w:rsid w:val="00E93A1E"/>
    <w:rsid w:val="00E93ADF"/>
    <w:rsid w:val="00E94BCA"/>
    <w:rsid w:val="00EA2574"/>
    <w:rsid w:val="00EA7319"/>
    <w:rsid w:val="00EA779B"/>
    <w:rsid w:val="00EA79E9"/>
    <w:rsid w:val="00EB3089"/>
    <w:rsid w:val="00EC56B1"/>
    <w:rsid w:val="00EC7455"/>
    <w:rsid w:val="00EC7A22"/>
    <w:rsid w:val="00ED38FA"/>
    <w:rsid w:val="00ED3D45"/>
    <w:rsid w:val="00ED48A8"/>
    <w:rsid w:val="00ED48F8"/>
    <w:rsid w:val="00ED4CCD"/>
    <w:rsid w:val="00ED668C"/>
    <w:rsid w:val="00EE1476"/>
    <w:rsid w:val="00EE2990"/>
    <w:rsid w:val="00EE2ECC"/>
    <w:rsid w:val="00EE54AC"/>
    <w:rsid w:val="00EF04FA"/>
    <w:rsid w:val="00F00E49"/>
    <w:rsid w:val="00F04880"/>
    <w:rsid w:val="00F0563C"/>
    <w:rsid w:val="00F14D1D"/>
    <w:rsid w:val="00F15B6F"/>
    <w:rsid w:val="00F22075"/>
    <w:rsid w:val="00F33859"/>
    <w:rsid w:val="00F35BC6"/>
    <w:rsid w:val="00F367BB"/>
    <w:rsid w:val="00F41D86"/>
    <w:rsid w:val="00F43119"/>
    <w:rsid w:val="00F52713"/>
    <w:rsid w:val="00F54F12"/>
    <w:rsid w:val="00F562FD"/>
    <w:rsid w:val="00F60752"/>
    <w:rsid w:val="00F631E6"/>
    <w:rsid w:val="00F63647"/>
    <w:rsid w:val="00F66964"/>
    <w:rsid w:val="00F712FA"/>
    <w:rsid w:val="00F7142F"/>
    <w:rsid w:val="00F81B2A"/>
    <w:rsid w:val="00F82F01"/>
    <w:rsid w:val="00F90F01"/>
    <w:rsid w:val="00F92645"/>
    <w:rsid w:val="00F9670D"/>
    <w:rsid w:val="00F97D4A"/>
    <w:rsid w:val="00FA5F67"/>
    <w:rsid w:val="00FD2389"/>
    <w:rsid w:val="00FD7EC1"/>
    <w:rsid w:val="00FE1FBB"/>
    <w:rsid w:val="00FF370E"/>
    <w:rsid w:val="00FF469D"/>
    <w:rsid w:val="00FF5529"/>
    <w:rsid w:val="00FF7815"/>
    <w:rsid w:val="07D70826"/>
    <w:rsid w:val="0E5365CA"/>
    <w:rsid w:val="14F65E12"/>
    <w:rsid w:val="15AA0CB7"/>
    <w:rsid w:val="16C359AE"/>
    <w:rsid w:val="18B33220"/>
    <w:rsid w:val="269C22A6"/>
    <w:rsid w:val="2C7429F9"/>
    <w:rsid w:val="35C538CA"/>
    <w:rsid w:val="3FCD65F8"/>
    <w:rsid w:val="52AD2FCF"/>
    <w:rsid w:val="53787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046FCFA"/>
  <w15:docId w15:val="{7C9460A1-74F4-44A9-B6E7-D4BCD43F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1" w:qFormat="1"/>
    <w:lsdException w:name="toc 4" w:uiPriority="1" w:qFormat="1"/>
    <w:lsdException w:name="toc 5" w:uiPriority="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Arial" w:eastAsia="思源黑体" w:hAnsi="Arial" w:cstheme="minorBidi"/>
      <w:kern w:val="2"/>
      <w:sz w:val="16"/>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ody Text"/>
    <w:basedOn w:val="a"/>
    <w:link w:val="a6"/>
    <w:uiPriority w:val="1"/>
    <w:qFormat/>
    <w:pPr>
      <w:ind w:left="555" w:hanging="375"/>
      <w:jc w:val="left"/>
    </w:pPr>
    <w:rPr>
      <w:rFonts w:ascii="微软雅黑" w:eastAsia="微软雅黑" w:hAnsi="微软雅黑"/>
      <w:kern w:val="0"/>
      <w:sz w:val="18"/>
      <w:szCs w:val="18"/>
      <w:lang w:eastAsia="en-US"/>
    </w:rPr>
  </w:style>
  <w:style w:type="paragraph" w:styleId="5">
    <w:name w:val="toc 5"/>
    <w:basedOn w:val="a"/>
    <w:next w:val="a"/>
    <w:uiPriority w:val="1"/>
    <w:qFormat/>
    <w:pPr>
      <w:spacing w:before="56"/>
      <w:ind w:left="1140"/>
      <w:jc w:val="left"/>
    </w:pPr>
    <w:rPr>
      <w:rFonts w:ascii="微软雅黑" w:eastAsia="微软雅黑" w:hAnsi="微软雅黑"/>
      <w:b/>
      <w:bCs/>
      <w:i/>
      <w:kern w:val="0"/>
      <w:sz w:val="22"/>
      <w:lang w:eastAsia="en-US"/>
    </w:rPr>
  </w:style>
  <w:style w:type="paragraph" w:styleId="3">
    <w:name w:val="toc 3"/>
    <w:basedOn w:val="a"/>
    <w:next w:val="a"/>
    <w:uiPriority w:val="1"/>
    <w:qFormat/>
    <w:pPr>
      <w:spacing w:before="50"/>
      <w:ind w:left="930"/>
      <w:jc w:val="left"/>
    </w:pPr>
    <w:rPr>
      <w:rFonts w:ascii="微软雅黑" w:eastAsia="微软雅黑" w:hAnsi="微软雅黑"/>
      <w:b/>
      <w:bCs/>
      <w:i/>
      <w:kern w:val="0"/>
      <w:sz w:val="22"/>
      <w:lang w:eastAsia="en-US"/>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Pr>
      <w:sz w:val="18"/>
    </w:rPr>
  </w:style>
  <w:style w:type="paragraph" w:styleId="4">
    <w:name w:val="toc 4"/>
    <w:basedOn w:val="a"/>
    <w:next w:val="a"/>
    <w:uiPriority w:val="1"/>
    <w:qFormat/>
    <w:pPr>
      <w:spacing w:before="91"/>
      <w:ind w:left="1140"/>
      <w:jc w:val="left"/>
    </w:pPr>
    <w:rPr>
      <w:rFonts w:ascii="微软雅黑" w:eastAsia="微软雅黑" w:hAnsi="微软雅黑"/>
      <w:kern w:val="0"/>
      <w:sz w:val="22"/>
      <w:lang w:eastAsia="en-US"/>
    </w:rPr>
  </w:style>
  <w:style w:type="paragraph" w:styleId="21">
    <w:name w:val="toc 2"/>
    <w:basedOn w:val="a"/>
    <w:next w:val="a"/>
    <w:uiPriority w:val="39"/>
    <w:unhideWhenUsed/>
    <w:qFormat/>
    <w:pPr>
      <w:ind w:leftChars="200" w:left="420"/>
    </w:pPr>
  </w:style>
  <w:style w:type="table" w:styleId="ad">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Hyperlink"/>
    <w:basedOn w:val="a0"/>
    <w:uiPriority w:val="99"/>
    <w:unhideWhenUsed/>
    <w:qFormat/>
    <w:rPr>
      <w:color w:val="0563C1" w:themeColor="hyperlink"/>
      <w:u w:val="single"/>
    </w:rPr>
  </w:style>
  <w:style w:type="paragraph" w:customStyle="1" w:styleId="010">
    <w:name w:val="01级标题"/>
    <w:basedOn w:val="1"/>
    <w:next w:val="020"/>
    <w:link w:val="011"/>
    <w:qFormat/>
    <w:rsid w:val="000B422B"/>
    <w:pPr>
      <w:spacing w:before="120" w:after="120" w:line="240" w:lineRule="auto"/>
    </w:pPr>
    <w:rPr>
      <w:b w:val="0"/>
      <w:color w:val="FFFFFF" w:themeColor="background1"/>
      <w:sz w:val="24"/>
      <w:szCs w:val="24"/>
      <w:shd w:val="clear" w:color="auto" w:fill="F19438"/>
    </w:rPr>
  </w:style>
  <w:style w:type="paragraph" w:customStyle="1" w:styleId="020">
    <w:name w:val="02级标题"/>
    <w:basedOn w:val="2"/>
    <w:next w:val="a"/>
    <w:link w:val="021"/>
    <w:qFormat/>
    <w:rsid w:val="000B422B"/>
    <w:pPr>
      <w:keepNext w:val="0"/>
      <w:keepLines w:val="0"/>
      <w:tabs>
        <w:tab w:val="left" w:pos="0"/>
      </w:tabs>
      <w:spacing w:before="120" w:after="120" w:line="240" w:lineRule="auto"/>
      <w:jc w:val="left"/>
    </w:pPr>
    <w:rPr>
      <w:rFonts w:ascii="思源黑体" w:eastAsia="思源黑体" w:hAnsi="思源黑体" w:cstheme="minorBidi"/>
      <w:b w:val="0"/>
      <w:bCs w:val="0"/>
      <w:color w:val="0C5161"/>
      <w:sz w:val="22"/>
      <w:szCs w:val="22"/>
    </w:rPr>
  </w:style>
  <w:style w:type="character" w:customStyle="1" w:styleId="011">
    <w:name w:val="01级标题 字符"/>
    <w:basedOn w:val="10"/>
    <w:link w:val="010"/>
    <w:qFormat/>
    <w:rsid w:val="000B422B"/>
    <w:rPr>
      <w:rFonts w:ascii="Arial" w:eastAsia="思源黑体" w:hAnsi="Arial" w:cstheme="minorBidi"/>
      <w:b w:val="0"/>
      <w:bCs/>
      <w:color w:val="FFFFFF" w:themeColor="background1"/>
      <w:kern w:val="44"/>
      <w:sz w:val="24"/>
      <w:szCs w:val="24"/>
    </w:rPr>
  </w:style>
  <w:style w:type="character" w:customStyle="1" w:styleId="10">
    <w:name w:val="标题 1字符"/>
    <w:basedOn w:val="a0"/>
    <w:link w:val="1"/>
    <w:uiPriority w:val="9"/>
    <w:qFormat/>
    <w:rPr>
      <w:b/>
      <w:bCs/>
      <w:kern w:val="44"/>
      <w:sz w:val="44"/>
      <w:szCs w:val="44"/>
    </w:rPr>
  </w:style>
  <w:style w:type="character" w:customStyle="1" w:styleId="021">
    <w:name w:val="02级标题 字符"/>
    <w:basedOn w:val="20"/>
    <w:link w:val="020"/>
    <w:qFormat/>
    <w:rsid w:val="000B422B"/>
    <w:rPr>
      <w:rFonts w:ascii="思源黑体" w:eastAsia="思源黑体" w:hAnsi="思源黑体" w:cstheme="minorBidi"/>
      <w:b w:val="0"/>
      <w:bCs w:val="0"/>
      <w:color w:val="0C5161"/>
      <w:kern w:val="2"/>
      <w:sz w:val="22"/>
      <w:szCs w:val="22"/>
    </w:rPr>
  </w:style>
  <w:style w:type="character" w:customStyle="1" w:styleId="20">
    <w:name w:val="标题 2字符"/>
    <w:basedOn w:val="a0"/>
    <w:link w:val="2"/>
    <w:uiPriority w:val="9"/>
    <w:semiHidden/>
    <w:qFormat/>
    <w:rPr>
      <w:rFonts w:asciiTheme="majorHAnsi" w:eastAsiaTheme="majorEastAsia" w:hAnsiTheme="majorHAnsi" w:cstheme="majorBidi"/>
      <w:b/>
      <w:bCs/>
      <w:sz w:val="32"/>
      <w:szCs w:val="32"/>
    </w:rPr>
  </w:style>
  <w:style w:type="paragraph" w:customStyle="1" w:styleId="Default">
    <w:name w:val="Default"/>
    <w:pPr>
      <w:widowControl w:val="0"/>
      <w:autoSpaceDE w:val="0"/>
      <w:autoSpaceDN w:val="0"/>
      <w:adjustRightInd w:val="0"/>
    </w:pPr>
    <w:rPr>
      <w:rFonts w:ascii="Arial" w:eastAsiaTheme="minorEastAsia" w:hAnsi="Arial" w:cs="Arial"/>
      <w:color w:val="000000"/>
      <w:sz w:val="24"/>
      <w:szCs w:val="24"/>
    </w:rPr>
  </w:style>
  <w:style w:type="character" w:customStyle="1" w:styleId="ac">
    <w:name w:val="页眉字符"/>
    <w:basedOn w:val="a0"/>
    <w:link w:val="ab"/>
    <w:uiPriority w:val="99"/>
    <w:qFormat/>
    <w:rPr>
      <w:rFonts w:ascii="Arial" w:eastAsia="思源黑体" w:hAnsi="Arial"/>
      <w:sz w:val="18"/>
      <w:szCs w:val="18"/>
    </w:rPr>
  </w:style>
  <w:style w:type="character" w:customStyle="1" w:styleId="aa">
    <w:name w:val="页脚字符"/>
    <w:basedOn w:val="a0"/>
    <w:link w:val="a9"/>
    <w:uiPriority w:val="99"/>
    <w:qFormat/>
    <w:rPr>
      <w:rFonts w:ascii="Arial" w:eastAsia="思源黑体" w:hAnsi="Arial"/>
      <w:sz w:val="18"/>
      <w:szCs w:val="1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批注框文本字符"/>
    <w:basedOn w:val="a0"/>
    <w:link w:val="a7"/>
    <w:uiPriority w:val="99"/>
    <w:semiHidden/>
    <w:qFormat/>
    <w:rPr>
      <w:rFonts w:ascii="Arial" w:eastAsia="思源黑体" w:hAnsi="Arial"/>
      <w:sz w:val="18"/>
      <w:szCs w:val="18"/>
    </w:rPr>
  </w:style>
  <w:style w:type="paragraph" w:customStyle="1" w:styleId="TableParagraph">
    <w:name w:val="Table Paragraph"/>
    <w:basedOn w:val="a"/>
    <w:uiPriority w:val="1"/>
    <w:qFormat/>
    <w:pPr>
      <w:jc w:val="left"/>
    </w:pPr>
    <w:rPr>
      <w:rFonts w:asciiTheme="minorHAnsi" w:eastAsiaTheme="minorEastAsia" w:hAnsiTheme="minorHAnsi"/>
      <w:kern w:val="0"/>
      <w:sz w:val="22"/>
      <w:lang w:eastAsia="en-US"/>
    </w:rPr>
  </w:style>
  <w:style w:type="paragraph" w:styleId="af">
    <w:name w:val="List Paragraph"/>
    <w:basedOn w:val="a"/>
    <w:link w:val="af0"/>
    <w:uiPriority w:val="1"/>
    <w:qFormat/>
    <w:pPr>
      <w:ind w:firstLineChars="200" w:firstLine="420"/>
    </w:pPr>
  </w:style>
  <w:style w:type="paragraph" w:customStyle="1" w:styleId="light">
    <w:name w:val="正文light"/>
    <w:basedOn w:val="a"/>
    <w:link w:val="light0"/>
    <w:qFormat/>
    <w:pPr>
      <w:spacing w:before="6"/>
    </w:pPr>
    <w:rPr>
      <w:rFonts w:eastAsia="思源黑体 Light" w:cs="Arial"/>
      <w:color w:val="000000" w:themeColor="text1"/>
      <w:szCs w:val="16"/>
    </w:rPr>
  </w:style>
  <w:style w:type="paragraph" w:customStyle="1" w:styleId="03">
    <w:name w:val="0无缩进段落"/>
    <w:basedOn w:val="a"/>
    <w:qFormat/>
    <w:rsid w:val="003D5841"/>
  </w:style>
  <w:style w:type="character" w:customStyle="1" w:styleId="light0">
    <w:name w:val="正文light 字符"/>
    <w:basedOn w:val="a0"/>
    <w:link w:val="light"/>
    <w:qFormat/>
    <w:rPr>
      <w:rFonts w:ascii="Arial" w:eastAsia="思源黑体 Light" w:hAnsi="Arial" w:cs="Arial"/>
      <w:color w:val="000000" w:themeColor="text1"/>
      <w:sz w:val="16"/>
      <w:szCs w:val="16"/>
    </w:rPr>
  </w:style>
  <w:style w:type="table" w:customStyle="1" w:styleId="TableNormal">
    <w:name w:val="Table Normal"/>
    <w:uiPriority w:val="2"/>
    <w:semiHidden/>
    <w:unhideWhenUsed/>
    <w:qFormat/>
    <w:pPr>
      <w:widowControl w:val="0"/>
    </w:pPr>
    <w:rPr>
      <w:sz w:val="22"/>
      <w:lang w:eastAsia="en-US"/>
    </w:rPr>
    <w:tblPr>
      <w:tblCellMar>
        <w:top w:w="0" w:type="dxa"/>
        <w:left w:w="0" w:type="dxa"/>
        <w:bottom w:w="0" w:type="dxa"/>
        <w:right w:w="0" w:type="dxa"/>
      </w:tblCellMar>
    </w:tblPr>
  </w:style>
  <w:style w:type="character" w:customStyle="1" w:styleId="a6">
    <w:name w:val="正文文本字符"/>
    <w:basedOn w:val="a0"/>
    <w:link w:val="a5"/>
    <w:uiPriority w:val="1"/>
    <w:qFormat/>
    <w:rPr>
      <w:rFonts w:ascii="微软雅黑" w:eastAsia="微软雅黑" w:hAnsi="微软雅黑"/>
      <w:kern w:val="0"/>
      <w:sz w:val="18"/>
      <w:szCs w:val="18"/>
      <w:lang w:eastAsia="en-US"/>
    </w:rPr>
  </w:style>
  <w:style w:type="character" w:styleId="af1">
    <w:name w:val="annotation reference"/>
    <w:basedOn w:val="a0"/>
    <w:uiPriority w:val="99"/>
    <w:semiHidden/>
    <w:unhideWhenUsed/>
    <w:rPr>
      <w:sz w:val="21"/>
      <w:szCs w:val="21"/>
    </w:rPr>
  </w:style>
  <w:style w:type="paragraph" w:styleId="af2">
    <w:name w:val="annotation subject"/>
    <w:basedOn w:val="a3"/>
    <w:next w:val="a3"/>
    <w:link w:val="af3"/>
    <w:uiPriority w:val="99"/>
    <w:semiHidden/>
    <w:unhideWhenUsed/>
    <w:rsid w:val="00EC7455"/>
    <w:rPr>
      <w:b/>
      <w:bCs/>
    </w:rPr>
  </w:style>
  <w:style w:type="character" w:customStyle="1" w:styleId="a4">
    <w:name w:val="批注文字字符"/>
    <w:basedOn w:val="a0"/>
    <w:link w:val="a3"/>
    <w:uiPriority w:val="99"/>
    <w:semiHidden/>
    <w:rsid w:val="00EC7455"/>
    <w:rPr>
      <w:rFonts w:ascii="Arial" w:eastAsia="思源黑体" w:hAnsi="Arial" w:cstheme="minorBidi"/>
      <w:kern w:val="2"/>
      <w:sz w:val="16"/>
      <w:szCs w:val="22"/>
    </w:rPr>
  </w:style>
  <w:style w:type="character" w:customStyle="1" w:styleId="af3">
    <w:name w:val="批注主题字符"/>
    <w:basedOn w:val="a4"/>
    <w:link w:val="af2"/>
    <w:uiPriority w:val="99"/>
    <w:semiHidden/>
    <w:rsid w:val="00EC7455"/>
    <w:rPr>
      <w:rFonts w:ascii="Arial" w:eastAsia="思源黑体" w:hAnsi="Arial" w:cstheme="minorBidi"/>
      <w:b/>
      <w:bCs/>
      <w:kern w:val="2"/>
      <w:sz w:val="16"/>
      <w:szCs w:val="22"/>
    </w:rPr>
  </w:style>
  <w:style w:type="table" w:customStyle="1" w:styleId="5referencedruglist">
    <w:name w:val="5reference_drug_list"/>
    <w:basedOn w:val="a1"/>
    <w:uiPriority w:val="99"/>
    <w:qFormat/>
    <w:rsid w:val="00DE47CC"/>
    <w:rPr>
      <w:rFonts w:ascii="Arial" w:eastAsia="思源黑体 Light" w:hAnsi="Arial"/>
    </w:rPr>
    <w:tblPr>
      <w:tblStyleRowBandSize w:val="1"/>
      <w:tblInd w:w="0" w:type="dxa"/>
      <w:tblBorders>
        <w:top w:val="single" w:sz="4" w:space="0" w:color="767171" w:themeColor="background2" w:themeShade="80"/>
        <w:bottom w:val="single" w:sz="4" w:space="0" w:color="767171" w:themeColor="background2" w:themeShade="80"/>
      </w:tblBorders>
      <w:tblCellMar>
        <w:top w:w="0" w:type="dxa"/>
        <w:left w:w="108" w:type="dxa"/>
        <w:bottom w:w="0" w:type="dxa"/>
        <w:right w:w="108" w:type="dxa"/>
      </w:tblCellMar>
    </w:tblPr>
    <w:tblStylePr w:type="firstRow">
      <w:rPr>
        <w:rFonts w:ascii="Arial" w:eastAsia="思源黑体" w:hAnsi="Arial" w:cs="Arial" w:hint="default"/>
      </w:rPr>
      <w:tblPr/>
      <w:tcPr>
        <w:tcBorders>
          <w:bottom w:val="single" w:sz="4" w:space="0" w:color="767171" w:themeColor="background2" w:themeShade="80"/>
        </w:tcBorders>
        <w:shd w:val="clear" w:color="auto" w:fill="D9D9D9" w:themeFill="background1" w:themeFillShade="D9"/>
      </w:tcPr>
    </w:tblStylePr>
    <w:tblStylePr w:type="lastRow">
      <w:tblPr/>
      <w:tcPr>
        <w:tcBorders>
          <w:bottom w:val="single" w:sz="4" w:space="0" w:color="767171" w:themeColor="background2" w:themeShade="80"/>
        </w:tcBorders>
      </w:tcPr>
    </w:tblStylePr>
    <w:tblStylePr w:type="band2Horz">
      <w:tblPr/>
      <w:tcPr>
        <w:shd w:val="clear" w:color="auto" w:fill="F2F2F2" w:themeFill="background1" w:themeFillShade="F2"/>
      </w:tcPr>
    </w:tblStylePr>
  </w:style>
  <w:style w:type="table" w:customStyle="1" w:styleId="common">
    <w:name w:val="common"/>
    <w:basedOn w:val="a1"/>
    <w:uiPriority w:val="99"/>
    <w:rsid w:val="002E32A6"/>
    <w:pPr>
      <w:jc w:val="both"/>
    </w:pPr>
    <w:rPr>
      <w:rFonts w:ascii="Arial" w:eastAsia="思源黑体 Light" w:hAnsi="Arial"/>
      <w:sz w:val="16"/>
    </w:rPr>
    <w:tblPr>
      <w:tblInd w:w="0" w:type="dxa"/>
      <w:tblBorders>
        <w:top w:val="single" w:sz="4" w:space="0" w:color="404040" w:themeColor="text1" w:themeTint="BF"/>
        <w:bottom w:val="single" w:sz="4" w:space="0" w:color="404040" w:themeColor="text1" w:themeTint="BF"/>
        <w:insideH w:val="single" w:sz="4" w:space="0" w:color="404040" w:themeColor="text1" w:themeTint="BF"/>
      </w:tblBorders>
      <w:tblCellMar>
        <w:top w:w="0" w:type="dxa"/>
        <w:left w:w="108" w:type="dxa"/>
        <w:bottom w:w="0" w:type="dxa"/>
        <w:right w:w="108" w:type="dxa"/>
      </w:tblCellMar>
    </w:tblPr>
    <w:tcPr>
      <w:shd w:val="clear" w:color="auto" w:fill="auto"/>
      <w:vAlign w:val="center"/>
    </w:tcPr>
    <w:tblStylePr w:type="firstRow">
      <w:pPr>
        <w:jc w:val="both"/>
      </w:pPr>
      <w:rPr>
        <w:rFonts w:ascii="Arial" w:eastAsia="思源黑体" w:hAnsi="Arial"/>
        <w:sz w:val="16"/>
      </w:rPr>
      <w:tblPr/>
      <w:trPr>
        <w:cantSplit/>
        <w:tblHeader/>
      </w:trPr>
      <w:tcPr>
        <w:tcBorders>
          <w:top w:val="single" w:sz="4" w:space="0" w:color="404040" w:themeColor="text1" w:themeTint="BF"/>
          <w:bottom w:val="single" w:sz="4" w:space="0" w:color="404040" w:themeColor="text1" w:themeTint="BF"/>
        </w:tcBorders>
        <w:shd w:val="clear" w:color="auto" w:fill="F2F2F2" w:themeFill="background1" w:themeFillShade="F2"/>
        <w:vAlign w:val="top"/>
      </w:tcPr>
    </w:tblStylePr>
  </w:style>
  <w:style w:type="paragraph" w:customStyle="1" w:styleId="02">
    <w:name w:val="0星号列表"/>
    <w:basedOn w:val="a"/>
    <w:qFormat/>
    <w:rsid w:val="00431E92"/>
    <w:pPr>
      <w:numPr>
        <w:numId w:val="2"/>
      </w:numPr>
    </w:pPr>
    <w:rPr>
      <w:rFonts w:ascii="思源黑体 Light" w:eastAsia="思源黑体 Light" w:hAnsi="思源黑体 Light" w:cs="Times New Roman"/>
      <w:sz w:val="13"/>
    </w:rPr>
  </w:style>
  <w:style w:type="paragraph" w:customStyle="1" w:styleId="030">
    <w:name w:val="03级标题"/>
    <w:basedOn w:val="a"/>
    <w:link w:val="031"/>
    <w:qFormat/>
    <w:rsid w:val="00437E68"/>
    <w:rPr>
      <w:sz w:val="20"/>
    </w:rPr>
  </w:style>
  <w:style w:type="character" w:customStyle="1" w:styleId="af0">
    <w:name w:val="列出段落字符"/>
    <w:basedOn w:val="a0"/>
    <w:link w:val="af"/>
    <w:uiPriority w:val="1"/>
    <w:rsid w:val="00874DCC"/>
    <w:rPr>
      <w:rFonts w:ascii="Arial" w:eastAsia="思源黑体" w:hAnsi="Arial" w:cstheme="minorBidi"/>
      <w:kern w:val="2"/>
      <w:sz w:val="16"/>
      <w:szCs w:val="22"/>
    </w:rPr>
  </w:style>
  <w:style w:type="paragraph" w:customStyle="1" w:styleId="3detectresult1">
    <w:name w:val="3detectresult_阅读帮助1级"/>
    <w:basedOn w:val="light"/>
    <w:link w:val="3detectresult10"/>
    <w:qFormat/>
    <w:rsid w:val="002E4BA0"/>
    <w:pPr>
      <w:numPr>
        <w:numId w:val="4"/>
      </w:numPr>
      <w:snapToGrid w:val="0"/>
    </w:pPr>
    <w:rPr>
      <w:color w:val="767171" w:themeColor="background2" w:themeShade="80"/>
      <w:sz w:val="13"/>
      <w:szCs w:val="13"/>
    </w:rPr>
  </w:style>
  <w:style w:type="character" w:customStyle="1" w:styleId="031">
    <w:name w:val="03级标题 字符"/>
    <w:basedOn w:val="a0"/>
    <w:link w:val="030"/>
    <w:rsid w:val="00437E68"/>
    <w:rPr>
      <w:rFonts w:ascii="Arial" w:eastAsia="思源黑体" w:hAnsi="Arial" w:cstheme="minorBidi"/>
      <w:kern w:val="2"/>
      <w:szCs w:val="22"/>
    </w:rPr>
  </w:style>
  <w:style w:type="paragraph" w:customStyle="1" w:styleId="3detectresult2">
    <w:name w:val="3detectresult_阅读帮助2级"/>
    <w:basedOn w:val="light"/>
    <w:link w:val="3detectresult20"/>
    <w:qFormat/>
    <w:rsid w:val="00961BB2"/>
    <w:pPr>
      <w:snapToGrid w:val="0"/>
      <w:ind w:firstLine="420"/>
    </w:pPr>
    <w:rPr>
      <w:color w:val="767171" w:themeColor="background2" w:themeShade="80"/>
      <w:sz w:val="13"/>
      <w:szCs w:val="13"/>
    </w:rPr>
  </w:style>
  <w:style w:type="character" w:customStyle="1" w:styleId="3detectresult10">
    <w:name w:val="3detectresult_阅读帮助1级字符"/>
    <w:basedOn w:val="light0"/>
    <w:link w:val="3detectresult1"/>
    <w:rsid w:val="002E4BA0"/>
    <w:rPr>
      <w:rFonts w:ascii="Arial" w:eastAsia="思源黑体 Light" w:hAnsi="Arial" w:cs="Arial"/>
      <w:color w:val="767171" w:themeColor="background2" w:themeShade="80"/>
      <w:kern w:val="2"/>
      <w:sz w:val="13"/>
      <w:szCs w:val="13"/>
    </w:rPr>
  </w:style>
  <w:style w:type="paragraph" w:customStyle="1" w:styleId="3detectresult3">
    <w:name w:val="3detectresult_阅读帮助3级"/>
    <w:basedOn w:val="light"/>
    <w:link w:val="3detectresult30"/>
    <w:qFormat/>
    <w:rsid w:val="00961BB2"/>
    <w:pPr>
      <w:numPr>
        <w:ilvl w:val="1"/>
        <w:numId w:val="4"/>
      </w:numPr>
      <w:snapToGrid w:val="0"/>
    </w:pPr>
    <w:rPr>
      <w:color w:val="767171" w:themeColor="background2" w:themeShade="80"/>
      <w:sz w:val="13"/>
      <w:szCs w:val="13"/>
    </w:rPr>
  </w:style>
  <w:style w:type="character" w:customStyle="1" w:styleId="3detectresult20">
    <w:name w:val="3detectresult_阅读帮助2级 字符"/>
    <w:basedOn w:val="light0"/>
    <w:link w:val="3detectresult2"/>
    <w:rsid w:val="00961BB2"/>
    <w:rPr>
      <w:rFonts w:ascii="Arial" w:eastAsia="思源黑体 Light" w:hAnsi="Arial" w:cs="Arial"/>
      <w:color w:val="767171" w:themeColor="background2" w:themeShade="80"/>
      <w:kern w:val="2"/>
      <w:sz w:val="13"/>
      <w:szCs w:val="13"/>
    </w:rPr>
  </w:style>
  <w:style w:type="table" w:customStyle="1" w:styleId="1sumqc">
    <w:name w:val="1sum_qc"/>
    <w:basedOn w:val="a1"/>
    <w:uiPriority w:val="99"/>
    <w:rsid w:val="00D8033C"/>
    <w:pPr>
      <w:spacing w:line="276" w:lineRule="auto"/>
      <w:jc w:val="both"/>
    </w:pPr>
    <w:rPr>
      <w:rFonts w:ascii="思源黑体" w:eastAsia="思源黑体" w:hAnsi="思源黑体"/>
      <w:sz w:val="21"/>
    </w:rPr>
    <w:tblPr>
      <w:tblInd w:w="0" w:type="dxa"/>
      <w:tblBorders>
        <w:bottom w:val="single" w:sz="4" w:space="0" w:color="auto"/>
        <w:insideH w:val="single" w:sz="4" w:space="0" w:color="auto"/>
      </w:tblBorders>
      <w:tblCellMar>
        <w:top w:w="0" w:type="dxa"/>
        <w:left w:w="108" w:type="dxa"/>
        <w:bottom w:w="0" w:type="dxa"/>
        <w:right w:w="108" w:type="dxa"/>
      </w:tblCellMar>
    </w:tblPr>
    <w:tcPr>
      <w:shd w:val="clear" w:color="auto" w:fill="auto"/>
      <w:vAlign w:val="center"/>
    </w:tcPr>
    <w:tblStylePr w:type="firstRow">
      <w:pPr>
        <w:wordWrap/>
        <w:spacing w:line="276" w:lineRule="auto"/>
        <w:jc w:val="both"/>
      </w:pPr>
      <w:rPr>
        <w:rFonts w:eastAsia="思源黑体"/>
        <w:sz w:val="21"/>
      </w:rPr>
      <w:tblPr/>
      <w:tcPr>
        <w:tcBorders>
          <w:top w:val="single" w:sz="4" w:space="0" w:color="auto"/>
          <w:bottom w:val="single" w:sz="4" w:space="0" w:color="auto"/>
        </w:tcBorders>
        <w:shd w:val="clear" w:color="auto" w:fill="F2F2F2" w:themeFill="background1" w:themeFillShade="F2"/>
        <w:vAlign w:val="center"/>
      </w:tcPr>
    </w:tblStylePr>
  </w:style>
  <w:style w:type="character" w:customStyle="1" w:styleId="3detectresult30">
    <w:name w:val="3detectresult_阅读帮助3级 字符"/>
    <w:basedOn w:val="light0"/>
    <w:link w:val="3detectresult3"/>
    <w:rsid w:val="00961BB2"/>
    <w:rPr>
      <w:rFonts w:ascii="Arial" w:eastAsia="思源黑体 Light" w:hAnsi="Arial" w:cs="Arial"/>
      <w:color w:val="767171" w:themeColor="background2" w:themeShade="80"/>
      <w:kern w:val="2"/>
      <w:sz w:val="13"/>
      <w:szCs w:val="13"/>
    </w:rPr>
  </w:style>
  <w:style w:type="table" w:customStyle="1" w:styleId="4detectdetailclinical">
    <w:name w:val="4detectdetail_clinical"/>
    <w:basedOn w:val="a1"/>
    <w:uiPriority w:val="99"/>
    <w:rsid w:val="00CA5B54"/>
    <w:pPr>
      <w:widowControl w:val="0"/>
      <w:snapToGrid w:val="0"/>
    </w:pPr>
    <w:tblPr>
      <w:tblStyleRowBandSize w:val="1"/>
      <w:tblInd w:w="0" w:type="dxa"/>
      <w:tblBorders>
        <w:bottom w:val="single" w:sz="4" w:space="0" w:color="404040" w:themeColor="text1" w:themeTint="BF"/>
      </w:tblBorders>
      <w:tblCellMar>
        <w:top w:w="0" w:type="dxa"/>
        <w:left w:w="108" w:type="dxa"/>
        <w:bottom w:w="0" w:type="dxa"/>
        <w:right w:w="108" w:type="dxa"/>
      </w:tblCellMar>
    </w:tblPr>
    <w:tblStylePr w:type="firstRow">
      <w:pPr>
        <w:jc w:val="both"/>
      </w:pPr>
      <w:rPr>
        <w:rFonts w:ascii="Arial" w:eastAsia="思源黑体" w:hAnsi="Arial"/>
        <w:sz w:val="16"/>
      </w:rPr>
      <w:tblPr/>
      <w:trPr>
        <w:tblHeader/>
      </w:trPr>
      <w:tcPr>
        <w:tcBorders>
          <w:top w:val="single" w:sz="4" w:space="0" w:color="404040" w:themeColor="text1" w:themeTint="BF"/>
          <w:bottom w:val="single" w:sz="4" w:space="0" w:color="404040" w:themeColor="text1" w:themeTint="BF"/>
        </w:tcBorders>
        <w:shd w:val="clear" w:color="auto" w:fill="BFBFBF" w:themeFill="background1" w:themeFillShade="BF"/>
      </w:tcPr>
    </w:tblStylePr>
    <w:tblStylePr w:type="band1Horz">
      <w:pPr>
        <w:jc w:val="both"/>
      </w:pPr>
      <w:rPr>
        <w:rFonts w:ascii="Arial" w:eastAsia="思源黑体" w:hAnsi="Arial"/>
        <w:sz w:val="13"/>
      </w:rPr>
      <w:tblPr/>
      <w:tcPr>
        <w:vAlign w:val="center"/>
      </w:tcPr>
    </w:tblStylePr>
    <w:tblStylePr w:type="band2Horz">
      <w:pPr>
        <w:jc w:val="both"/>
      </w:pPr>
      <w:rPr>
        <w:rFonts w:ascii="Arial" w:eastAsia="思源黑体" w:hAnsi="Arial"/>
        <w:sz w:val="13"/>
      </w:rPr>
      <w:tblPr/>
      <w:tcPr>
        <w:shd w:val="clear" w:color="auto" w:fill="F2F2F2" w:themeFill="background1" w:themeFillShade="F2"/>
        <w:vAlign w:val="center"/>
      </w:tcPr>
    </w:tblStylePr>
  </w:style>
  <w:style w:type="paragraph" w:customStyle="1" w:styleId="5reference">
    <w:name w:val="5reference参考文献"/>
    <w:basedOn w:val="af"/>
    <w:link w:val="5reference0"/>
    <w:autoRedefine/>
    <w:qFormat/>
    <w:rsid w:val="00C33EEF"/>
    <w:pPr>
      <w:numPr>
        <w:numId w:val="5"/>
      </w:numPr>
      <w:spacing w:line="360" w:lineRule="auto"/>
      <w:ind w:left="0" w:firstLineChars="0" w:firstLine="0"/>
    </w:pPr>
    <w:rPr>
      <w:color w:val="595959" w:themeColor="text1" w:themeTint="A6"/>
      <w:sz w:val="18"/>
    </w:rPr>
  </w:style>
  <w:style w:type="paragraph" w:styleId="af4">
    <w:name w:val="caption"/>
    <w:basedOn w:val="a"/>
    <w:next w:val="a"/>
    <w:uiPriority w:val="35"/>
    <w:unhideWhenUsed/>
    <w:qFormat/>
    <w:rsid w:val="001C4EC3"/>
    <w:rPr>
      <w:rFonts w:asciiTheme="majorHAnsi" w:eastAsia="黑体" w:hAnsiTheme="majorHAnsi" w:cstheme="majorBidi"/>
      <w:sz w:val="20"/>
      <w:szCs w:val="20"/>
    </w:rPr>
  </w:style>
  <w:style w:type="character" w:customStyle="1" w:styleId="5reference0">
    <w:name w:val="5reference参考文献字符"/>
    <w:basedOn w:val="af0"/>
    <w:link w:val="5reference"/>
    <w:rsid w:val="00C33EEF"/>
    <w:rPr>
      <w:rFonts w:ascii="Arial" w:eastAsia="思源黑体" w:hAnsi="Arial" w:cstheme="minorBidi"/>
      <w:color w:val="595959" w:themeColor="text1" w:themeTint="A6"/>
      <w:kern w:val="2"/>
      <w:sz w:val="18"/>
      <w:szCs w:val="22"/>
    </w:rPr>
  </w:style>
  <w:style w:type="paragraph" w:customStyle="1" w:styleId="2medicationtipnccninfo">
    <w:name w:val="2medicationtip_nccninfo"/>
    <w:basedOn w:val="a"/>
    <w:autoRedefine/>
    <w:qFormat/>
    <w:rsid w:val="00CD5C95"/>
    <w:pPr>
      <w:spacing w:line="360" w:lineRule="auto"/>
    </w:pPr>
    <w:rPr>
      <w:rFonts w:cs="Times New Roman"/>
      <w:i/>
    </w:rPr>
  </w:style>
  <w:style w:type="table" w:customStyle="1" w:styleId="3detectresultsign">
    <w:name w:val="3detectresult_sign"/>
    <w:basedOn w:val="a1"/>
    <w:uiPriority w:val="99"/>
    <w:rsid w:val="00903276"/>
    <w:pPr>
      <w:spacing w:line="360" w:lineRule="auto"/>
    </w:pPr>
    <w:rPr>
      <w:rFonts w:ascii="思源黑体" w:eastAsia="思源黑体" w:hAnsi="思源黑体"/>
      <w:sz w:val="21"/>
    </w:rPr>
    <w:tblPr>
      <w:tblInd w:w="0" w:type="dxa"/>
      <w:tblCellMar>
        <w:top w:w="0" w:type="dxa"/>
        <w:left w:w="108" w:type="dxa"/>
        <w:bottom w:w="0" w:type="dxa"/>
        <w:right w:w="108" w:type="dxa"/>
      </w:tblCellMar>
    </w:tblPr>
    <w:trPr>
      <w:cantSplit/>
    </w:trPr>
    <w:tcPr>
      <w:vAlign w:val="bottom"/>
    </w:tcPr>
  </w:style>
  <w:style w:type="paragraph" w:customStyle="1" w:styleId="4detectdetailmsi">
    <w:name w:val="4detectdetail_msi段落"/>
    <w:basedOn w:val="a"/>
    <w:autoRedefine/>
    <w:qFormat/>
    <w:rsid w:val="00342620"/>
    <w:pPr>
      <w:ind w:firstLine="420"/>
    </w:pPr>
    <w:rPr>
      <w:rFonts w:eastAsia="思源黑体 Light" w:cs="Arial"/>
      <w:szCs w:val="16"/>
    </w:rPr>
  </w:style>
  <w:style w:type="paragraph" w:customStyle="1" w:styleId="4detectdetailmsi0">
    <w:name w:val="4detectdetail_msi图注"/>
    <w:basedOn w:val="a"/>
    <w:autoRedefine/>
    <w:qFormat/>
    <w:rsid w:val="00AB4040"/>
    <w:pPr>
      <w:jc w:val="center"/>
    </w:pPr>
    <w:rPr>
      <w:rFonts w:eastAsia="思源黑体 Light" w:cs="Arial"/>
      <w:szCs w:val="16"/>
    </w:rPr>
  </w:style>
  <w:style w:type="table" w:customStyle="1" w:styleId="1sumdetectinfo1">
    <w:name w:val="1sum_detect_info1"/>
    <w:basedOn w:val="a1"/>
    <w:uiPriority w:val="99"/>
    <w:rsid w:val="00CE6ED7"/>
    <w:pPr>
      <w:jc w:val="both"/>
    </w:pPr>
    <w:rPr>
      <w:rFonts w:ascii="Arial" w:eastAsia="思源黑体" w:hAnsi="Arial"/>
      <w:sz w:val="16"/>
    </w:rPr>
    <w:tblPr>
      <w:tblInd w:w="0" w:type="dxa"/>
      <w:tblBorders>
        <w:top w:val="single" w:sz="4" w:space="0" w:color="auto"/>
        <w:bottom w:val="single" w:sz="4" w:space="0" w:color="auto"/>
      </w:tblBorders>
      <w:tblCellMar>
        <w:top w:w="0" w:type="dxa"/>
        <w:left w:w="108" w:type="dxa"/>
        <w:bottom w:w="0" w:type="dxa"/>
        <w:right w:w="108" w:type="dxa"/>
      </w:tblCellMar>
    </w:tblPr>
    <w:tcPr>
      <w:shd w:val="clear" w:color="auto" w:fill="BFBFBF" w:themeFill="background1" w:themeFillShade="BF"/>
      <w:vAlign w:val="center"/>
    </w:tcPr>
  </w:style>
  <w:style w:type="table" w:customStyle="1" w:styleId="1sumdetectinfo3">
    <w:name w:val="1sum_detect_info3"/>
    <w:basedOn w:val="a1"/>
    <w:uiPriority w:val="99"/>
    <w:rsid w:val="008523CA"/>
    <w:pPr>
      <w:jc w:val="both"/>
    </w:pPr>
    <w:rPr>
      <w:rFonts w:ascii="Arial" w:eastAsia="思源黑体" w:hAnsi="Arial"/>
      <w:sz w:val="16"/>
    </w:rPr>
    <w:tblPr>
      <w:tblInd w:w="0" w:type="dxa"/>
      <w:tblBorders>
        <w:bottom w:val="single" w:sz="4" w:space="0" w:color="auto"/>
      </w:tblBorders>
      <w:tblCellMar>
        <w:top w:w="0" w:type="dxa"/>
        <w:left w:w="108" w:type="dxa"/>
        <w:bottom w:w="0" w:type="dxa"/>
        <w:right w:w="108" w:type="dxa"/>
      </w:tblCellMar>
    </w:tblPr>
    <w:tcPr>
      <w:shd w:val="clear" w:color="auto" w:fill="auto"/>
      <w:vAlign w:val="center"/>
    </w:tcPr>
    <w:tblStylePr w:type="firstRow">
      <w:pPr>
        <w:wordWrap/>
        <w:snapToGrid w:val="0"/>
        <w:jc w:val="both"/>
      </w:pPr>
      <w:rPr>
        <w:rFonts w:eastAsia="思源黑体"/>
        <w:sz w:val="13"/>
      </w:rPr>
      <w:tblPr/>
      <w:tcPr>
        <w:shd w:val="clear" w:color="auto" w:fill="F2F2F2" w:themeFill="background1" w:themeFillShade="F2"/>
      </w:tcPr>
    </w:tblStylePr>
  </w:style>
  <w:style w:type="table" w:customStyle="1" w:styleId="1sumdetectinfo2">
    <w:name w:val="1sum_detect_info2"/>
    <w:basedOn w:val="a1"/>
    <w:uiPriority w:val="99"/>
    <w:rsid w:val="00A55369"/>
    <w:pPr>
      <w:jc w:val="both"/>
    </w:pPr>
    <w:rPr>
      <w:rFonts w:ascii="Arial" w:eastAsia="思源黑体 Light" w:hAnsi="Arial"/>
      <w:sz w:val="16"/>
    </w:rPr>
    <w:tblPr>
      <w:tblInd w:w="0" w:type="dxa"/>
      <w:tblBorders>
        <w:bottom w:val="single" w:sz="4" w:space="0" w:color="auto"/>
      </w:tblBorders>
      <w:tblCellMar>
        <w:top w:w="0" w:type="dxa"/>
        <w:left w:w="108" w:type="dxa"/>
        <w:bottom w:w="0" w:type="dxa"/>
        <w:right w:w="108" w:type="dxa"/>
      </w:tblCellMar>
    </w:tblPr>
    <w:tcPr>
      <w:shd w:val="clear" w:color="auto" w:fill="auto"/>
      <w:vAlign w:val="center"/>
    </w:tcPr>
    <w:tblStylePr w:type="firstRow">
      <w:pPr>
        <w:wordWrap/>
        <w:snapToGrid w:val="0"/>
      </w:pPr>
      <w:rPr>
        <w:rFonts w:ascii="Arial" w:eastAsia="思源黑体 Light" w:hAnsi="Arial"/>
        <w:sz w:val="16"/>
      </w:rPr>
      <w:tblPr/>
      <w:tcPr>
        <w:tcBorders>
          <w:top w:val="nil"/>
          <w:left w:val="nil"/>
          <w:bottom w:val="nil"/>
          <w:right w:val="nil"/>
          <w:insideH w:val="nil"/>
          <w:insideV w:val="nil"/>
          <w:tl2br w:val="nil"/>
          <w:tr2bl w:val="nil"/>
        </w:tcBorders>
        <w:shd w:val="clear" w:color="auto" w:fill="F2F2F2" w:themeFill="background1" w:themeFillShade="F2"/>
      </w:tcPr>
    </w:tblStylePr>
  </w:style>
  <w:style w:type="table" w:customStyle="1" w:styleId="1sumresult1">
    <w:name w:val="1sum_result1"/>
    <w:basedOn w:val="a1"/>
    <w:uiPriority w:val="99"/>
    <w:rsid w:val="00E10B8C"/>
    <w:pPr>
      <w:spacing w:line="360" w:lineRule="auto"/>
      <w:jc w:val="both"/>
    </w:pPr>
    <w:rPr>
      <w:rFonts w:ascii="Arial" w:eastAsia="思源黑体" w:hAnsi="Arial"/>
      <w:sz w:val="22"/>
    </w:rPr>
    <w:tblPr>
      <w:tblInd w:w="0" w:type="dxa"/>
      <w:tblBorders>
        <w:top w:val="single" w:sz="4" w:space="0" w:color="auto"/>
        <w:bottom w:val="single" w:sz="4" w:space="0" w:color="auto"/>
      </w:tblBorders>
      <w:tblCellMar>
        <w:top w:w="0" w:type="dxa"/>
        <w:left w:w="108" w:type="dxa"/>
        <w:bottom w:w="0" w:type="dxa"/>
        <w:right w:w="108" w:type="dxa"/>
      </w:tblCellMar>
    </w:tblPr>
    <w:tcPr>
      <w:shd w:val="clear" w:color="auto" w:fill="D0CECE" w:themeFill="background2" w:themeFillShade="E6"/>
      <w:vAlign w:val="center"/>
    </w:tcPr>
  </w:style>
  <w:style w:type="table" w:customStyle="1" w:styleId="1sumresult2">
    <w:name w:val="1sum_result2"/>
    <w:basedOn w:val="a1"/>
    <w:uiPriority w:val="99"/>
    <w:rsid w:val="000B422B"/>
    <w:pPr>
      <w:spacing w:line="300" w:lineRule="auto"/>
      <w:jc w:val="both"/>
    </w:pPr>
    <w:rPr>
      <w:rFonts w:ascii="Arial" w:eastAsia="思源黑体" w:hAnsi="Arial"/>
      <w:sz w:val="18"/>
    </w:rPr>
    <w:tblPr>
      <w:tblInd w:w="0" w:type="dxa"/>
      <w:tblBorders>
        <w:bottom w:val="single" w:sz="4" w:space="0" w:color="auto"/>
        <w:insideH w:val="single" w:sz="4" w:space="0" w:color="auto"/>
      </w:tblBorders>
      <w:tblCellMar>
        <w:top w:w="0" w:type="dxa"/>
        <w:left w:w="108" w:type="dxa"/>
        <w:bottom w:w="0" w:type="dxa"/>
        <w:right w:w="108" w:type="dxa"/>
      </w:tblCellMar>
    </w:tblPr>
    <w:tcPr>
      <w:shd w:val="clear" w:color="auto" w:fill="auto"/>
      <w:vAlign w:val="center"/>
    </w:tcPr>
    <w:tblStylePr w:type="firstRow">
      <w:pPr>
        <w:wordWrap/>
        <w:spacing w:beforeLines="0" w:before="100" w:beforeAutospacing="1" w:afterLines="0" w:after="100" w:afterAutospacing="1" w:line="360" w:lineRule="auto"/>
        <w:jc w:val="both"/>
      </w:pPr>
      <w:rPr>
        <w:rFonts w:ascii="Arial" w:hAnsi="Arial"/>
        <w:sz w:val="18"/>
      </w:rPr>
      <w:tblPr/>
      <w:tcPr>
        <w:tcBorders>
          <w:top w:val="nil"/>
        </w:tcBorders>
        <w:shd w:val="clear" w:color="auto" w:fill="F2F2F2" w:themeFill="background1" w:themeFillShade="F2"/>
      </w:tcPr>
    </w:tblStylePr>
  </w:style>
  <w:style w:type="table" w:customStyle="1" w:styleId="1sumresult3">
    <w:name w:val="1sum_result3"/>
    <w:basedOn w:val="a1"/>
    <w:uiPriority w:val="99"/>
    <w:rsid w:val="000B422B"/>
    <w:pPr>
      <w:spacing w:line="300" w:lineRule="auto"/>
    </w:pPr>
    <w:rPr>
      <w:rFonts w:ascii="Arial" w:eastAsia="思源黑体" w:hAnsi="Arial"/>
      <w:sz w:val="13"/>
    </w:rPr>
    <w:tblPr>
      <w:tblInd w:w="0" w:type="dxa"/>
      <w:tblBorders>
        <w:bottom w:val="single" w:sz="4" w:space="0" w:color="auto"/>
        <w:insideH w:val="single" w:sz="4" w:space="0" w:color="auto"/>
      </w:tblBorders>
      <w:tblCellMar>
        <w:top w:w="0" w:type="dxa"/>
        <w:left w:w="108" w:type="dxa"/>
        <w:bottom w:w="0" w:type="dxa"/>
        <w:right w:w="108" w:type="dxa"/>
      </w:tblCellMar>
    </w:tblPr>
    <w:tcPr>
      <w:shd w:val="clear" w:color="auto" w:fill="auto"/>
      <w:vAlign w:val="center"/>
    </w:tcPr>
  </w:style>
  <w:style w:type="paragraph" w:customStyle="1" w:styleId="1sumpdetectinfo">
    <w:name w:val="1sump_detect_info"/>
    <w:basedOn w:val="a"/>
    <w:qFormat/>
    <w:rsid w:val="00B80DBD"/>
    <w:pPr>
      <w:jc w:val="left"/>
    </w:pPr>
  </w:style>
  <w:style w:type="paragraph" w:customStyle="1" w:styleId="0">
    <w:name w:val="0三角列表"/>
    <w:basedOn w:val="a"/>
    <w:qFormat/>
    <w:rsid w:val="00355FAE"/>
    <w:pPr>
      <w:numPr>
        <w:ilvl w:val="1"/>
        <w:numId w:val="11"/>
      </w:numPr>
      <w:snapToGrid w:val="0"/>
      <w:contextualSpacing/>
    </w:pPr>
    <w:rPr>
      <w:rFonts w:ascii="思源黑体 Light" w:eastAsia="思源黑体 Light" w:hAnsi="思源黑体 Light" w:cs="Times New Roman"/>
      <w:sz w:val="13"/>
    </w:rPr>
  </w:style>
  <w:style w:type="paragraph" w:customStyle="1" w:styleId="04">
    <w:name w:val="0图注居中"/>
    <w:basedOn w:val="a"/>
    <w:qFormat/>
    <w:rsid w:val="000175B6"/>
    <w:pPr>
      <w:jc w:val="center"/>
    </w:pPr>
  </w:style>
  <w:style w:type="table" w:customStyle="1" w:styleId="2medicationtipaddinfohrr">
    <w:name w:val="2medicationtip_addinfo_hrr"/>
    <w:basedOn w:val="a1"/>
    <w:uiPriority w:val="99"/>
    <w:rsid w:val="00076D02"/>
    <w:pPr>
      <w:jc w:val="center"/>
    </w:pPr>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center"/>
      </w:pPr>
      <w:rPr>
        <w:rFonts w:eastAsia="思源黑体"/>
        <w:sz w:val="16"/>
      </w:rPr>
      <w:tblPr/>
      <w:tcPr>
        <w:shd w:val="clear" w:color="auto" w:fill="F2F2F2" w:themeFill="background1" w:themeFillShade="F2"/>
      </w:tcPr>
    </w:tblStylePr>
  </w:style>
  <w:style w:type="table" w:customStyle="1" w:styleId="1sumdetectinfo4">
    <w:name w:val="1sum_detect_info4"/>
    <w:basedOn w:val="a1"/>
    <w:uiPriority w:val="99"/>
    <w:rsid w:val="00293E4E"/>
    <w:pPr>
      <w:jc w:val="center"/>
    </w:pPr>
    <w:rPr>
      <w:rFonts w:ascii="Arial" w:hAnsi="Arial"/>
      <w:sz w:val="16"/>
    </w:rPr>
    <w:tblPr>
      <w:tblInd w:w="0" w:type="dxa"/>
      <w:tblBorders>
        <w:bottom w:val="single" w:sz="4" w:space="0" w:color="auto"/>
      </w:tblBorders>
      <w:tblCellMar>
        <w:top w:w="0" w:type="dxa"/>
        <w:left w:w="108" w:type="dxa"/>
        <w:bottom w:w="0" w:type="dxa"/>
        <w:right w:w="108" w:type="dxa"/>
      </w:tblCellMar>
    </w:tblPr>
    <w:tcPr>
      <w:shd w:val="clear" w:color="auto" w:fill="auto"/>
      <w:vAlign w:val="center"/>
    </w:tcPr>
    <w:tblStylePr w:type="firstRow">
      <w:pPr>
        <w:wordWrap/>
        <w:snapToGrid w:val="0"/>
        <w:jc w:val="center"/>
      </w:pPr>
      <w:rPr>
        <w:rFonts w:ascii="Arial" w:eastAsia="思源黑体" w:hAnsi="Arial"/>
        <w:sz w:val="16"/>
      </w:rPr>
      <w:tblPr/>
      <w:tcPr>
        <w:shd w:val="clear" w:color="auto" w:fill="F2F2F2" w:themeFill="background1" w:themeFillShade="F2"/>
        <w:vAlign w:val="center"/>
      </w:tcPr>
    </w:tblStylePr>
  </w:style>
  <w:style w:type="paragraph" w:customStyle="1" w:styleId="4detectdetailhrr">
    <w:name w:val="4detectdetail_hrr段落"/>
    <w:basedOn w:val="a"/>
    <w:qFormat/>
    <w:rsid w:val="00AB276F"/>
    <w:pPr>
      <w:ind w:firstLineChars="200" w:firstLine="320"/>
    </w:pPr>
    <w:rPr>
      <w:rFonts w:eastAsia="思源黑体 Light" w:cs="Arial"/>
      <w:szCs w:val="16"/>
    </w:rPr>
  </w:style>
  <w:style w:type="paragraph" w:customStyle="1" w:styleId="4detectdetailhrr0">
    <w:name w:val="4detectdetail_hrr图注"/>
    <w:basedOn w:val="a"/>
    <w:qFormat/>
    <w:rsid w:val="00CB475E"/>
    <w:pPr>
      <w:jc w:val="center"/>
    </w:pPr>
    <w:rPr>
      <w:rFonts w:eastAsia="思源黑体 Light" w:cs="Arial"/>
      <w:szCs w:val="16"/>
    </w:rPr>
  </w:style>
  <w:style w:type="paragraph" w:customStyle="1" w:styleId="4detectdetailhrr1">
    <w:name w:val="4detectdetail_hrr参考文献"/>
    <w:basedOn w:val="a"/>
    <w:qFormat/>
    <w:rsid w:val="00AB276F"/>
    <w:pPr>
      <w:spacing w:before="6"/>
    </w:pPr>
    <w:rPr>
      <w:rFonts w:eastAsia="思源黑体 Light" w:cs="Arial"/>
      <w:color w:val="000000" w:themeColor="text1"/>
      <w:sz w:val="13"/>
      <w:szCs w:val="16"/>
    </w:rPr>
  </w:style>
  <w:style w:type="paragraph" w:customStyle="1" w:styleId="4detectdetailimmune1">
    <w:name w:val="4detectdetail_immune_标题1"/>
    <w:basedOn w:val="a"/>
    <w:qFormat/>
    <w:rsid w:val="00680F45"/>
    <w:rPr>
      <w:rFonts w:eastAsia="思源黑体 Medium" w:cs="Arial"/>
      <w:sz w:val="18"/>
      <w:szCs w:val="16"/>
    </w:rPr>
  </w:style>
  <w:style w:type="paragraph" w:customStyle="1" w:styleId="4detectdetailimmune10">
    <w:name w:val="4detectdetail_immune段落1"/>
    <w:basedOn w:val="a"/>
    <w:qFormat/>
    <w:rsid w:val="00CB475E"/>
    <w:pPr>
      <w:ind w:firstLineChars="200" w:firstLine="320"/>
    </w:pPr>
    <w:rPr>
      <w:rFonts w:eastAsia="思源黑体 Light" w:cs="Arial"/>
      <w:szCs w:val="16"/>
    </w:rPr>
  </w:style>
  <w:style w:type="paragraph" w:customStyle="1" w:styleId="4detectdetailimmune2">
    <w:name w:val="4detectdetail_immune_标题2"/>
    <w:basedOn w:val="a"/>
    <w:qFormat/>
    <w:rsid w:val="00CB475E"/>
    <w:rPr>
      <w:rFonts w:eastAsia="思源黑体 Medium" w:cs="Arial"/>
      <w:color w:val="0070C0"/>
      <w:sz w:val="18"/>
      <w:szCs w:val="16"/>
    </w:rPr>
  </w:style>
  <w:style w:type="paragraph" w:customStyle="1" w:styleId="22">
    <w:name w:val="自标题2"/>
    <w:basedOn w:val="2"/>
    <w:next w:val="a"/>
    <w:link w:val="23"/>
    <w:qFormat/>
    <w:rsid w:val="00032465"/>
    <w:pPr>
      <w:keepNext w:val="0"/>
      <w:keepLines w:val="0"/>
      <w:tabs>
        <w:tab w:val="left" w:pos="0"/>
      </w:tabs>
      <w:spacing w:before="0" w:after="0" w:line="240" w:lineRule="auto"/>
      <w:jc w:val="left"/>
    </w:pPr>
    <w:rPr>
      <w:rFonts w:ascii="思源黑体" w:eastAsia="思源黑体" w:hAnsi="思源黑体"/>
      <w:b w:val="0"/>
      <w:bCs w:val="0"/>
      <w:color w:val="0C5161"/>
      <w:sz w:val="22"/>
      <w:szCs w:val="22"/>
    </w:rPr>
  </w:style>
  <w:style w:type="character" w:customStyle="1" w:styleId="23">
    <w:name w:val="自标题2 字符"/>
    <w:basedOn w:val="20"/>
    <w:link w:val="22"/>
    <w:qFormat/>
    <w:locked/>
    <w:rsid w:val="00032465"/>
    <w:rPr>
      <w:rFonts w:ascii="思源黑体" w:eastAsia="思源黑体" w:hAnsi="思源黑体" w:cstheme="majorBidi"/>
      <w:b w:val="0"/>
      <w:bCs w:val="0"/>
      <w:color w:val="0C5161"/>
      <w:kern w:val="2"/>
      <w:sz w:val="22"/>
      <w:szCs w:val="22"/>
    </w:rPr>
  </w:style>
  <w:style w:type="table" w:customStyle="1" w:styleId="5referencegenelist">
    <w:name w:val="5reference_genelist"/>
    <w:basedOn w:val="a1"/>
    <w:uiPriority w:val="99"/>
    <w:rsid w:val="003D5841"/>
    <w:pPr>
      <w:jc w:val="center"/>
    </w:pPr>
    <w:rPr>
      <w:rFonts w:eastAsia="思源黑体"/>
      <w:sz w:val="16"/>
    </w:rPr>
    <w:tblPr>
      <w:tblInd w:w="0" w:type="dxa"/>
      <w:tblBorders>
        <w:bottom w:val="single" w:sz="4" w:space="0" w:color="auto"/>
      </w:tblBorders>
      <w:tblCellMar>
        <w:top w:w="0" w:type="dxa"/>
        <w:left w:w="108" w:type="dxa"/>
        <w:bottom w:w="0" w:type="dxa"/>
        <w:right w:w="108" w:type="dxa"/>
      </w:tblCellMar>
    </w:tblPr>
    <w:tcPr>
      <w:shd w:val="clear" w:color="auto" w:fill="auto"/>
      <w:vAlign w:val="center"/>
    </w:tcPr>
    <w:tblStylePr w:type="firstRow">
      <w:pPr>
        <w:jc w:val="center"/>
      </w:pPr>
      <w:rPr>
        <w:rFonts w:eastAsia="思源黑体"/>
        <w:sz w:val="16"/>
      </w:rPr>
      <w:tblPr/>
      <w:tcPr>
        <w:tcBorders>
          <w:top w:val="single" w:sz="4" w:space="0" w:color="auto"/>
          <w:bottom w:val="single" w:sz="4" w:space="0" w:color="auto"/>
        </w:tcBorders>
        <w:shd w:val="clear" w:color="auto" w:fill="D9D9D9" w:themeFill="background1" w:themeFillShade="D9"/>
      </w:tcPr>
    </w:tblStylePr>
  </w:style>
  <w:style w:type="paragraph" w:customStyle="1" w:styleId="4detectdetailhere1">
    <w:name w:val="4detectdetail_here标题1"/>
    <w:basedOn w:val="a"/>
    <w:qFormat/>
    <w:rsid w:val="007839A5"/>
    <w:pPr>
      <w:spacing w:before="6"/>
    </w:pPr>
    <w:rPr>
      <w:rFonts w:eastAsia="思源黑体 Medium" w:cs="Arial"/>
      <w:color w:val="0070C0"/>
      <w:sz w:val="18"/>
      <w:szCs w:val="16"/>
    </w:rPr>
  </w:style>
  <w:style w:type="paragraph" w:customStyle="1" w:styleId="4detectdetailhere2">
    <w:name w:val="4detectdetail_here标题2"/>
    <w:basedOn w:val="a"/>
    <w:qFormat/>
    <w:rsid w:val="007839A5"/>
    <w:pPr>
      <w:spacing w:before="6"/>
    </w:pPr>
    <w:rPr>
      <w:rFonts w:eastAsia="思源黑体 Light" w:cs="Arial"/>
      <w:i/>
      <w:color w:val="385623" w:themeColor="accent6" w:themeShade="80"/>
      <w:szCs w:val="16"/>
    </w:rPr>
  </w:style>
  <w:style w:type="table" w:customStyle="1" w:styleId="4detectdetailheret1">
    <w:name w:val="4detectdetail_here_t1"/>
    <w:basedOn w:val="a1"/>
    <w:uiPriority w:val="99"/>
    <w:rsid w:val="00A614AB"/>
    <w:pPr>
      <w:snapToGrid w:val="0"/>
      <w:jc w:val="center"/>
    </w:pPr>
    <w:rPr>
      <w:rFonts w:ascii="Arial" w:eastAsia="思源黑体" w:hAnsi="Arial"/>
      <w:sz w:val="16"/>
    </w:rPr>
    <w:tblPr>
      <w:tblInd w:w="0" w:type="dxa"/>
      <w:tblBorders>
        <w:bottom w:val="single" w:sz="4" w:space="0" w:color="auto"/>
        <w:insideH w:val="single" w:sz="4" w:space="0" w:color="auto"/>
      </w:tblBorders>
      <w:tblCellMar>
        <w:top w:w="0" w:type="dxa"/>
        <w:left w:w="108" w:type="dxa"/>
        <w:bottom w:w="0" w:type="dxa"/>
        <w:right w:w="108" w:type="dxa"/>
      </w:tblCellMar>
    </w:tblPr>
    <w:tcPr>
      <w:shd w:val="clear" w:color="auto" w:fill="auto"/>
      <w:vAlign w:val="center"/>
    </w:tcPr>
    <w:tblStylePr w:type="firstRow">
      <w:pPr>
        <w:jc w:val="center"/>
      </w:pPr>
      <w:rPr>
        <w:rFonts w:eastAsia="思源黑体"/>
        <w:sz w:val="16"/>
      </w:rPr>
      <w:tblPr/>
      <w:tcPr>
        <w:tcBorders>
          <w:top w:val="single" w:sz="4" w:space="0" w:color="auto"/>
          <w:bottom w:val="single" w:sz="4" w:space="0" w:color="auto"/>
        </w:tcBorders>
        <w:shd w:val="clear" w:color="auto" w:fill="F2F2F2" w:themeFill="background1" w:themeFillShade="F2"/>
      </w:tcPr>
    </w:tblStylePr>
  </w:style>
  <w:style w:type="paragraph" w:customStyle="1" w:styleId="05">
    <w:name w:val="0缩进段落"/>
    <w:basedOn w:val="a"/>
    <w:qFormat/>
    <w:rsid w:val="00585B0A"/>
    <w:pPr>
      <w:spacing w:before="6"/>
      <w:ind w:firstLine="420"/>
    </w:pPr>
    <w:rPr>
      <w:rFonts w:eastAsia="思源黑体 Light" w:cs="Arial"/>
      <w:color w:val="000000" w:themeColor="text1"/>
      <w:szCs w:val="16"/>
    </w:rPr>
  </w:style>
  <w:style w:type="paragraph" w:customStyle="1" w:styleId="01">
    <w:name w:val="0短线列表"/>
    <w:basedOn w:val="a"/>
    <w:qFormat/>
    <w:rsid w:val="005173DE"/>
    <w:pPr>
      <w:numPr>
        <w:ilvl w:val="1"/>
        <w:numId w:val="14"/>
      </w:numPr>
      <w:spacing w:before="6"/>
    </w:pPr>
    <w:rPr>
      <w:rFonts w:eastAsia="思源黑体 Light" w:cs="Arial"/>
      <w:color w:val="000000" w:themeColor="text1"/>
      <w:szCs w:val="16"/>
    </w:rPr>
  </w:style>
  <w:style w:type="table" w:customStyle="1" w:styleId="4detectdetailheret2">
    <w:name w:val="4detectdetail_here_t2"/>
    <w:basedOn w:val="a1"/>
    <w:uiPriority w:val="99"/>
    <w:rsid w:val="005173DE"/>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paragraph" w:customStyle="1" w:styleId="4detectdetailhere">
    <w:name w:val="4detectdetail_here帮助"/>
    <w:basedOn w:val="a"/>
    <w:qFormat/>
    <w:rsid w:val="00ED48A8"/>
    <w:pPr>
      <w:snapToGrid w:val="0"/>
    </w:pPr>
    <w:rPr>
      <w:sz w:val="13"/>
    </w:rPr>
  </w:style>
  <w:style w:type="paragraph" w:customStyle="1" w:styleId="00">
    <w:name w:val="0大三角列表"/>
    <w:basedOn w:val="a"/>
    <w:qFormat/>
    <w:rsid w:val="00575DD6"/>
    <w:pPr>
      <w:numPr>
        <w:numId w:val="14"/>
      </w:numPr>
    </w:pPr>
  </w:style>
  <w:style w:type="table" w:customStyle="1" w:styleId="1sumdetectinfo5">
    <w:name w:val="1sum_detect_info5"/>
    <w:basedOn w:val="a1"/>
    <w:uiPriority w:val="99"/>
    <w:rsid w:val="00151E56"/>
    <w:pPr>
      <w:jc w:val="both"/>
    </w:pPr>
    <w:rPr>
      <w:rFonts w:ascii="Arial" w:eastAsia="思源黑体" w:hAnsi="Arial"/>
      <w:sz w:val="16"/>
    </w:rPr>
    <w:tblPr>
      <w:tblInd w:w="0" w:type="dxa"/>
      <w:tblCellMar>
        <w:top w:w="0" w:type="dxa"/>
        <w:left w:w="108" w:type="dxa"/>
        <w:bottom w:w="0" w:type="dxa"/>
        <w:right w:w="108"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255154">
      <w:bodyDiv w:val="1"/>
      <w:marLeft w:val="0"/>
      <w:marRight w:val="0"/>
      <w:marTop w:val="0"/>
      <w:marBottom w:val="0"/>
      <w:divBdr>
        <w:top w:val="none" w:sz="0" w:space="0" w:color="auto"/>
        <w:left w:val="none" w:sz="0" w:space="0" w:color="auto"/>
        <w:bottom w:val="none" w:sz="0" w:space="0" w:color="auto"/>
        <w:right w:val="none" w:sz="0" w:space="0" w:color="auto"/>
      </w:divBdr>
    </w:div>
    <w:div w:id="313294601">
      <w:bodyDiv w:val="1"/>
      <w:marLeft w:val="0"/>
      <w:marRight w:val="0"/>
      <w:marTop w:val="0"/>
      <w:marBottom w:val="0"/>
      <w:divBdr>
        <w:top w:val="none" w:sz="0" w:space="0" w:color="auto"/>
        <w:left w:val="none" w:sz="0" w:space="0" w:color="auto"/>
        <w:bottom w:val="none" w:sz="0" w:space="0" w:color="auto"/>
        <w:right w:val="none" w:sz="0" w:space="0" w:color="auto"/>
      </w:divBdr>
    </w:div>
    <w:div w:id="335689763">
      <w:bodyDiv w:val="1"/>
      <w:marLeft w:val="0"/>
      <w:marRight w:val="0"/>
      <w:marTop w:val="0"/>
      <w:marBottom w:val="0"/>
      <w:divBdr>
        <w:top w:val="none" w:sz="0" w:space="0" w:color="auto"/>
        <w:left w:val="none" w:sz="0" w:space="0" w:color="auto"/>
        <w:bottom w:val="none" w:sz="0" w:space="0" w:color="auto"/>
        <w:right w:val="none" w:sz="0" w:space="0" w:color="auto"/>
      </w:divBdr>
    </w:div>
    <w:div w:id="468010482">
      <w:bodyDiv w:val="1"/>
      <w:marLeft w:val="0"/>
      <w:marRight w:val="0"/>
      <w:marTop w:val="0"/>
      <w:marBottom w:val="0"/>
      <w:divBdr>
        <w:top w:val="none" w:sz="0" w:space="0" w:color="auto"/>
        <w:left w:val="none" w:sz="0" w:space="0" w:color="auto"/>
        <w:bottom w:val="none" w:sz="0" w:space="0" w:color="auto"/>
        <w:right w:val="none" w:sz="0" w:space="0" w:color="auto"/>
      </w:divBdr>
    </w:div>
    <w:div w:id="978265104">
      <w:bodyDiv w:val="1"/>
      <w:marLeft w:val="0"/>
      <w:marRight w:val="0"/>
      <w:marTop w:val="0"/>
      <w:marBottom w:val="0"/>
      <w:divBdr>
        <w:top w:val="none" w:sz="0" w:space="0" w:color="auto"/>
        <w:left w:val="none" w:sz="0" w:space="0" w:color="auto"/>
        <w:bottom w:val="none" w:sz="0" w:space="0" w:color="auto"/>
        <w:right w:val="none" w:sz="0" w:space="0" w:color="auto"/>
      </w:divBdr>
    </w:div>
    <w:div w:id="1280064358">
      <w:bodyDiv w:val="1"/>
      <w:marLeft w:val="0"/>
      <w:marRight w:val="0"/>
      <w:marTop w:val="0"/>
      <w:marBottom w:val="0"/>
      <w:divBdr>
        <w:top w:val="none" w:sz="0" w:space="0" w:color="auto"/>
        <w:left w:val="none" w:sz="0" w:space="0" w:color="auto"/>
        <w:bottom w:val="none" w:sz="0" w:space="0" w:color="auto"/>
        <w:right w:val="none" w:sz="0" w:space="0" w:color="auto"/>
      </w:divBdr>
    </w:div>
    <w:div w:id="1380671808">
      <w:bodyDiv w:val="1"/>
      <w:marLeft w:val="0"/>
      <w:marRight w:val="0"/>
      <w:marTop w:val="0"/>
      <w:marBottom w:val="0"/>
      <w:divBdr>
        <w:top w:val="none" w:sz="0" w:space="0" w:color="auto"/>
        <w:left w:val="none" w:sz="0" w:space="0" w:color="auto"/>
        <w:bottom w:val="none" w:sz="0" w:space="0" w:color="auto"/>
        <w:right w:val="none" w:sz="0" w:space="0" w:color="auto"/>
      </w:divBdr>
    </w:div>
    <w:div w:id="1586305003">
      <w:bodyDiv w:val="1"/>
      <w:marLeft w:val="0"/>
      <w:marRight w:val="0"/>
      <w:marTop w:val="0"/>
      <w:marBottom w:val="0"/>
      <w:divBdr>
        <w:top w:val="none" w:sz="0" w:space="0" w:color="auto"/>
        <w:left w:val="none" w:sz="0" w:space="0" w:color="auto"/>
        <w:bottom w:val="none" w:sz="0" w:space="0" w:color="auto"/>
        <w:right w:val="none" w:sz="0" w:space="0" w:color="auto"/>
      </w:divBdr>
    </w:div>
    <w:div w:id="1785735387">
      <w:bodyDiv w:val="1"/>
      <w:marLeft w:val="0"/>
      <w:marRight w:val="0"/>
      <w:marTop w:val="0"/>
      <w:marBottom w:val="0"/>
      <w:divBdr>
        <w:top w:val="none" w:sz="0" w:space="0" w:color="auto"/>
        <w:left w:val="none" w:sz="0" w:space="0" w:color="auto"/>
        <w:bottom w:val="none" w:sz="0" w:space="0" w:color="auto"/>
        <w:right w:val="none" w:sz="0" w:space="0" w:color="auto"/>
      </w:divBdr>
    </w:div>
    <w:div w:id="19024065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80BD18-8F16-6747-AF3C-B46E93CFE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3</Pages>
  <Words>595</Words>
  <Characters>3394</Characters>
  <Application>Microsoft Macintosh Word</Application>
  <DocSecurity>0</DocSecurity>
  <Lines>28</Lines>
  <Paragraphs>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何弘晟</dc:creator>
  <cp:lastModifiedBy>Microsoft Office 用户</cp:lastModifiedBy>
  <cp:revision>213</cp:revision>
  <dcterms:created xsi:type="dcterms:W3CDTF">2019-12-30T05:11:00Z</dcterms:created>
  <dcterms:modified xsi:type="dcterms:W3CDTF">2020-08-04T06:58:00Z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