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E36" w:rsidRDefault="005C2E36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6853AE" w:rsidP="00C1124B">
      <w:pPr>
        <w:pStyle w:val="02"/>
      </w:pPr>
      <w:r>
        <w:lastRenderedPageBreak/>
        <w:t>非小细胞肺癌NCCN指南相关基因</w:t>
      </w:r>
    </w:p>
    <w:p w:rsidR="00F11008" w:rsidRDefault="00F11008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F11008" w:rsidRPr="000061D8" w:rsidTr="0042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F11008" w:rsidRPr="000061D8" w:rsidRDefault="006853AE" w:rsidP="000061D8">
            <w:pPr>
              <w:ind w:left="84" w:right="84"/>
            </w:pPr>
            <w:r w:rsidRPr="000061D8">
              <w:t>检测基因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ind w:left="84" w:right="84"/>
            </w:pPr>
            <w:r w:rsidRPr="000061D8">
              <w:t>检测意义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ind w:left="84" w:right="84"/>
            </w:pPr>
            <w:r w:rsidRPr="000061D8">
              <w:t>检测结果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EGFR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EGFR最常见的突变类型（19外显子缺失突变，21外显子L858R点突变）与EGFR酪氨酸激酶抑制剂（TKI）治疗反应有关；最新数据表明，在任何治疗方案中，均不应使用EGFR TKI治疗不具有敏感性EGFR突变的肿瘤。EGFR还有许多较不常见的突变，累计约占NSCLC中EGFR突变的10%（19外显子插入突变，L861Q，G719X，S768I等）也对EGFR TKI的治疗反应相关。EGFR的某些突变与对EGFR TKI治疗缺乏反应性有关，包括大多数20外显子插入突变，T790M。如果在TKI治疗前发现了T790M，则应考虑遗传咨询，因为胚系T790M与家族性肺癌的易感性有关。</w:t>
            </w:r>
          </w:p>
        </w:tc>
        <w:tc>
          <w:tcPr>
            <w:tcW w:w="2268" w:type="dxa"/>
          </w:tcPr>
          <w:p w:rsidR="00F17F14" w:rsidRPr="00EA28C9" w:rsidRDefault="00F17F14" w:rsidP="000061D8">
            <w:pPr>
              <w:spacing w:before="120" w:after="120"/>
            </w:pPr>
            <w:r w:rsidRPr="00EA28C9">
              <w:rPr>
                <w:rFonts w:hint="eastAsia"/>
              </w:rPr>
              <w:t>{</w:t>
            </w:r>
            <w:r w:rsidRPr="00EA28C9">
              <w:t xml:space="preserve">%p if </w:t>
            </w:r>
            <w:proofErr w:type="spellStart"/>
            <w:r w:rsidRPr="00EA28C9">
              <w:t>nccn.EGFR.f</w:t>
            </w:r>
            <w:proofErr w:type="spellEnd"/>
            <w:r w:rsidRPr="00EA28C9">
              <w:t xml:space="preserve"> %}</w:t>
            </w:r>
          </w:p>
          <w:p w:rsidR="00F11008" w:rsidRPr="00D87E45" w:rsidRDefault="006853AE" w:rsidP="000061D8">
            <w:pPr>
              <w:spacing w:before="120" w:after="120"/>
              <w:rPr>
                <w:color w:val="FF631C"/>
              </w:rPr>
            </w:pPr>
            <w:r w:rsidRPr="00D87E45">
              <w:rPr>
                <w:color w:val="FF631C"/>
              </w:rPr>
              <w:t xml:space="preserve">{{ </w:t>
            </w:r>
            <w:proofErr w:type="spellStart"/>
            <w:r w:rsidRPr="00D87E45">
              <w:rPr>
                <w:color w:val="FF631C"/>
              </w:rPr>
              <w:t>nccn.EGFR.r</w:t>
            </w:r>
            <w:proofErr w:type="spellEnd"/>
            <w:r w:rsidRPr="00D87E45">
              <w:rPr>
                <w:color w:val="FF631C"/>
              </w:rPr>
              <w:t xml:space="preserve"> }}</w:t>
            </w:r>
          </w:p>
          <w:p w:rsidR="00F17F14" w:rsidRPr="00EA28C9" w:rsidRDefault="00F17F14" w:rsidP="000061D8">
            <w:pPr>
              <w:spacing w:before="120" w:after="120"/>
            </w:pPr>
            <w:r w:rsidRPr="00EA28C9">
              <w:rPr>
                <w:rFonts w:hint="eastAsia"/>
              </w:rPr>
              <w:t>{</w:t>
            </w:r>
            <w:r w:rsidRPr="00EA28C9">
              <w:t>%p else %}</w:t>
            </w:r>
          </w:p>
          <w:p w:rsidR="00F17F14" w:rsidRPr="00D87E45" w:rsidRDefault="00F17F14" w:rsidP="00F17F14">
            <w:pPr>
              <w:spacing w:before="120" w:after="120"/>
            </w:pPr>
            <w:r w:rsidRPr="00D87E45">
              <w:t xml:space="preserve">{{ </w:t>
            </w:r>
            <w:proofErr w:type="spellStart"/>
            <w:r w:rsidRPr="00D87E45">
              <w:t>nccn.EGFR.r</w:t>
            </w:r>
            <w:proofErr w:type="spellEnd"/>
            <w:r w:rsidRPr="00D87E45">
              <w:t xml:space="preserve"> }}</w:t>
            </w:r>
          </w:p>
          <w:p w:rsidR="00F17F14" w:rsidRPr="00EA28C9" w:rsidRDefault="00F17F14" w:rsidP="000061D8">
            <w:pPr>
              <w:spacing w:before="120" w:after="120"/>
            </w:pPr>
            <w:r w:rsidRPr="00EA28C9">
              <w:t>{%p endif %}</w:t>
            </w:r>
          </w:p>
          <w:p w:rsidR="00F11008" w:rsidRPr="000061D8" w:rsidRDefault="00F11008" w:rsidP="000061D8">
            <w:pPr>
              <w:spacing w:before="120" w:after="120"/>
            </w:pP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ALK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ALK重排的存在与对ALK TKI的反应有关。最近的研究表明，在一线治疗中，阿来替尼的疗效优于克唑替尼。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{%p if </w:t>
            </w:r>
            <w:proofErr w:type="spellStart"/>
            <w:r w:rsidRPr="000061D8">
              <w:t>nccn.ALK.f</w:t>
            </w:r>
            <w:proofErr w:type="spellEnd"/>
            <w:r w:rsidRPr="000061D8">
              <w:t xml:space="preserve">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 xml:space="preserve">{{ </w:t>
            </w:r>
            <w:proofErr w:type="spellStart"/>
            <w:r w:rsidRPr="004228CE">
              <w:rPr>
                <w:color w:val="FF631C"/>
              </w:rPr>
              <w:t>nccn.ALK.r</w:t>
            </w:r>
            <w:proofErr w:type="spellEnd"/>
            <w:r w:rsidRPr="004228CE">
              <w:rPr>
                <w:color w:val="FF631C"/>
              </w:rPr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{{ </w:t>
            </w:r>
            <w:proofErr w:type="spellStart"/>
            <w:r w:rsidRPr="000061D8">
              <w:t>nccn.ALK.r</w:t>
            </w:r>
            <w:proofErr w:type="spellEnd"/>
            <w:r w:rsidRPr="000061D8"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ROS1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ROS1重排的存在与对ROS1 TKI的反应性相关。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{%p if nccn.ROS1.f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>{{ nccn.ROS1.r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{{ nccn.ROS1.r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BRAF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BRAF V600突变的存在与对BRAF和MEK联合治疗的反应性有关。请注意，在NSCLC中观察到了BRAF中的其他突变，目前尚不清楚这些突变对治疗的影响。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{%p if </w:t>
            </w:r>
            <w:proofErr w:type="spellStart"/>
            <w:r w:rsidRPr="000061D8">
              <w:t>nccn.BRAF.f</w:t>
            </w:r>
            <w:proofErr w:type="spellEnd"/>
            <w:r w:rsidRPr="000061D8">
              <w:t xml:space="preserve"> %}</w:t>
            </w:r>
          </w:p>
          <w:p w:rsidR="00F11008" w:rsidRPr="00426B88" w:rsidRDefault="006853AE" w:rsidP="000061D8">
            <w:pPr>
              <w:spacing w:before="120" w:after="120"/>
              <w:rPr>
                <w:color w:val="FF631C"/>
              </w:rPr>
            </w:pPr>
            <w:r w:rsidRPr="00426B88">
              <w:rPr>
                <w:color w:val="FF631C"/>
              </w:rPr>
              <w:t xml:space="preserve">{{ </w:t>
            </w:r>
            <w:proofErr w:type="spellStart"/>
            <w:r w:rsidRPr="00426B88">
              <w:rPr>
                <w:color w:val="FF631C"/>
              </w:rPr>
              <w:t>nccn.BRAF.r</w:t>
            </w:r>
            <w:proofErr w:type="spellEnd"/>
            <w:r w:rsidRPr="00426B88">
              <w:rPr>
                <w:color w:val="FF631C"/>
              </w:rPr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{{ </w:t>
            </w:r>
            <w:proofErr w:type="spellStart"/>
            <w:r w:rsidRPr="000061D8">
              <w:t>nccn.BRAF.r</w:t>
            </w:r>
            <w:proofErr w:type="spellEnd"/>
            <w:r w:rsidRPr="000061D8"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KRAS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与没有KRAS突变的肿瘤患者相比，携带KRAS突变的患者预后不良。KRAS突变与对EGFR TKI治疗的反应性降低有关。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{%p if </w:t>
            </w:r>
            <w:proofErr w:type="spellStart"/>
            <w:r w:rsidRPr="000061D8">
              <w:t>nccn.KRAS.f</w:t>
            </w:r>
            <w:proofErr w:type="spellEnd"/>
            <w:r w:rsidRPr="000061D8">
              <w:t xml:space="preserve">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 xml:space="preserve">{{ </w:t>
            </w:r>
            <w:proofErr w:type="spellStart"/>
            <w:r w:rsidRPr="004228CE">
              <w:rPr>
                <w:color w:val="FF631C"/>
              </w:rPr>
              <w:t>nccn.KRAS.r</w:t>
            </w:r>
            <w:proofErr w:type="spellEnd"/>
            <w:r w:rsidRPr="004228CE">
              <w:rPr>
                <w:color w:val="FF631C"/>
              </w:rPr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{{ </w:t>
            </w:r>
            <w:proofErr w:type="spellStart"/>
            <w:r w:rsidRPr="000061D8">
              <w:t>nccn.KRAS.r</w:t>
            </w:r>
            <w:proofErr w:type="spellEnd"/>
            <w:r w:rsidRPr="000061D8"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MET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MET基因14外显子跳跃突变推荐使用</w:t>
            </w:r>
            <w:proofErr w:type="spellStart"/>
            <w:r w:rsidRPr="000061D8">
              <w:t>Capmatinib</w:t>
            </w:r>
            <w:proofErr w:type="spellEnd"/>
            <w:r w:rsidRPr="000061D8">
              <w:t>[卡马替尼]进行治疗，也可使用克唑替尼治疗。MET基因扩增的患者可使用克唑替尼治疗。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{%p if </w:t>
            </w:r>
            <w:proofErr w:type="spellStart"/>
            <w:r w:rsidRPr="000061D8">
              <w:t>nccn.MET.f</w:t>
            </w:r>
            <w:proofErr w:type="spellEnd"/>
            <w:r w:rsidRPr="000061D8">
              <w:t xml:space="preserve">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 xml:space="preserve">{{ </w:t>
            </w:r>
            <w:proofErr w:type="spellStart"/>
            <w:r w:rsidRPr="004228CE">
              <w:rPr>
                <w:color w:val="FF631C"/>
              </w:rPr>
              <w:t>nccn.MET.r</w:t>
            </w:r>
            <w:proofErr w:type="spellEnd"/>
            <w:r w:rsidRPr="004228CE">
              <w:rPr>
                <w:color w:val="FF631C"/>
              </w:rPr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{{ </w:t>
            </w:r>
            <w:proofErr w:type="spellStart"/>
            <w:r w:rsidRPr="000061D8">
              <w:t>nccn.MET.r</w:t>
            </w:r>
            <w:proofErr w:type="spellEnd"/>
            <w:r w:rsidRPr="000061D8"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RET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RET基因融合患者推荐使用</w:t>
            </w:r>
            <w:proofErr w:type="spellStart"/>
            <w:r w:rsidRPr="000061D8">
              <w:t>Selpercatinib</w:t>
            </w:r>
            <w:proofErr w:type="spellEnd"/>
            <w:r w:rsidRPr="000061D8">
              <w:t>[塞尔帕替尼]治疗，也可使用</w:t>
            </w:r>
            <w:proofErr w:type="spellStart"/>
            <w:r w:rsidRPr="000061D8">
              <w:t>Carbozantinib</w:t>
            </w:r>
            <w:proofErr w:type="spellEnd"/>
            <w:r w:rsidRPr="000061D8">
              <w:t>[卡博替尼]或</w:t>
            </w:r>
            <w:proofErr w:type="spellStart"/>
            <w:r w:rsidRPr="000061D8">
              <w:t>Vandetanib</w:t>
            </w:r>
            <w:proofErr w:type="spellEnd"/>
            <w:r w:rsidRPr="000061D8">
              <w:t>[凡德他尼]进行治疗。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 xml:space="preserve">{%p if </w:t>
            </w:r>
            <w:proofErr w:type="spellStart"/>
            <w:r w:rsidRPr="000061D8">
              <w:t>nccn.RET.f</w:t>
            </w:r>
            <w:proofErr w:type="spellEnd"/>
            <w:r w:rsidRPr="000061D8">
              <w:t xml:space="preserve">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 xml:space="preserve">{{ </w:t>
            </w:r>
            <w:proofErr w:type="spellStart"/>
            <w:r w:rsidRPr="004228CE">
              <w:rPr>
                <w:color w:val="FF631C"/>
              </w:rPr>
              <w:t>nccn.RET.r</w:t>
            </w:r>
            <w:proofErr w:type="spellEnd"/>
            <w:r w:rsidRPr="004228CE">
              <w:rPr>
                <w:color w:val="FF631C"/>
              </w:rPr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lastRenderedPageBreak/>
              <w:t xml:space="preserve">{{ </w:t>
            </w:r>
            <w:proofErr w:type="spellStart"/>
            <w:r w:rsidRPr="000061D8">
              <w:t>nccn.RET.r</w:t>
            </w:r>
            <w:proofErr w:type="spellEnd"/>
            <w:r w:rsidRPr="000061D8">
              <w:t xml:space="preserve">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lastRenderedPageBreak/>
              <w:t>ERBB2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ERBB2突变可使用恩美曲妥珠单抗进行治疗。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{%p if nccn.ERBB2.f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>{{ nccn.ERBB2.r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{{ nccn.ERBB2.r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NTRK1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NTRK1基因融合推荐使用</w:t>
            </w:r>
            <w:proofErr w:type="spellStart"/>
            <w:r w:rsidRPr="000061D8">
              <w:t>Larotrectinib</w:t>
            </w:r>
            <w:proofErr w:type="spellEnd"/>
            <w:r w:rsidRPr="000061D8">
              <w:t>[拉罗替尼]或</w:t>
            </w:r>
            <w:proofErr w:type="spellStart"/>
            <w:r w:rsidRPr="000061D8">
              <w:t>Entrectinib</w:t>
            </w:r>
            <w:proofErr w:type="spellEnd"/>
            <w:r w:rsidRPr="000061D8">
              <w:t>[恩曲替尼]进行治疗。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{%p if nccn.NTRK1.f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>{{ nccn.NTRK1.r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{{ nccn.NTRK1.r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NTRK2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NTRK2基因融合推荐使用</w:t>
            </w:r>
            <w:proofErr w:type="spellStart"/>
            <w:r w:rsidRPr="000061D8">
              <w:t>Larotrectinib</w:t>
            </w:r>
            <w:proofErr w:type="spellEnd"/>
            <w:r w:rsidRPr="000061D8">
              <w:t>[拉罗替尼]或</w:t>
            </w:r>
            <w:proofErr w:type="spellStart"/>
            <w:r w:rsidRPr="000061D8">
              <w:t>Entrectinib</w:t>
            </w:r>
            <w:proofErr w:type="spellEnd"/>
            <w:r w:rsidRPr="000061D8">
              <w:t>[恩曲替尼]进行治疗。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{%p if nccn.NTRK2.f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r w:rsidRPr="004228CE">
              <w:rPr>
                <w:color w:val="FF631C"/>
              </w:rPr>
              <w:t>{{ nccn.NTRK2.r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{{ nccn.NTRK2.r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  <w:tr w:rsidR="00F11008" w:rsidRPr="000061D8" w:rsidTr="00426B8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NTRK3</w:t>
            </w:r>
          </w:p>
        </w:tc>
        <w:tc>
          <w:tcPr>
            <w:tcW w:w="6236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NTRK3基因融合推荐使用</w:t>
            </w:r>
            <w:proofErr w:type="spellStart"/>
            <w:r w:rsidRPr="000061D8">
              <w:t>Larotrectinib</w:t>
            </w:r>
            <w:proofErr w:type="spellEnd"/>
            <w:r w:rsidRPr="000061D8">
              <w:t>[拉罗替尼]或</w:t>
            </w:r>
            <w:proofErr w:type="spellStart"/>
            <w:r w:rsidRPr="000061D8">
              <w:t>Entrectinib</w:t>
            </w:r>
            <w:proofErr w:type="spellEnd"/>
            <w:r w:rsidRPr="000061D8">
              <w:t>[恩曲替尼]进行治疗。</w:t>
            </w:r>
          </w:p>
        </w:tc>
        <w:tc>
          <w:tcPr>
            <w:tcW w:w="2268" w:type="dxa"/>
          </w:tcPr>
          <w:p w:rsidR="00F11008" w:rsidRPr="000061D8" w:rsidRDefault="006853AE" w:rsidP="000061D8">
            <w:pPr>
              <w:spacing w:before="120" w:after="120"/>
            </w:pPr>
            <w:r w:rsidRPr="000061D8">
              <w:t>{%p if nccn.NTRK3.f %}</w:t>
            </w:r>
          </w:p>
          <w:p w:rsidR="00F11008" w:rsidRPr="004228CE" w:rsidRDefault="006853AE" w:rsidP="000061D8">
            <w:pPr>
              <w:spacing w:before="120" w:after="120"/>
              <w:rPr>
                <w:color w:val="FF631C"/>
              </w:rPr>
            </w:pPr>
            <w:bookmarkStart w:id="0" w:name="_GoBack"/>
            <w:r w:rsidRPr="004228CE">
              <w:rPr>
                <w:color w:val="FF631C"/>
              </w:rPr>
              <w:t>{{ nccn.NTRK3.r }}</w:t>
            </w:r>
          </w:p>
          <w:bookmarkEnd w:id="0"/>
          <w:p w:rsidR="00F11008" w:rsidRPr="000061D8" w:rsidRDefault="006853AE" w:rsidP="000061D8">
            <w:pPr>
              <w:spacing w:before="120" w:after="120"/>
            </w:pPr>
            <w:r w:rsidRPr="000061D8">
              <w:t>{%p else %}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{{ nccn.NTRK3.r }}</w:t>
            </w:r>
          </w:p>
          <w:p w:rsidR="00F11008" w:rsidRPr="000061D8" w:rsidRDefault="006853AE" w:rsidP="000061D8">
            <w:pPr>
              <w:spacing w:before="120" w:after="120"/>
            </w:pPr>
            <w:r w:rsidRPr="000061D8">
              <w:t>{%p endif %}</w:t>
            </w:r>
          </w:p>
        </w:tc>
      </w:tr>
    </w:tbl>
    <w:p w:rsidR="00F11008" w:rsidRDefault="006853AE">
      <w:pPr>
        <w:pStyle w:val="03"/>
      </w:pPr>
      <w:r>
        <w:t>NCCN Clinical Practice Guidelines in Oncology (NCCN Guidelines</w:t>
      </w:r>
      <w:r>
        <w:t>®</w:t>
      </w:r>
      <w:r>
        <w:t>) Non-Small Cell Lung Cancer Version 5.2020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914" w:rsidRDefault="00432914" w:rsidP="00E96490">
      <w:r>
        <w:separator/>
      </w:r>
    </w:p>
  </w:endnote>
  <w:endnote w:type="continuationSeparator" w:id="0">
    <w:p w:rsidR="00432914" w:rsidRDefault="00432914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914" w:rsidRDefault="00432914" w:rsidP="00E96490">
      <w:r>
        <w:separator/>
      </w:r>
    </w:p>
  </w:footnote>
  <w:footnote w:type="continuationSeparator" w:id="0">
    <w:p w:rsidR="00432914" w:rsidRDefault="00432914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0A66"/>
    <w:rsid w:val="00001B8C"/>
    <w:rsid w:val="0000298F"/>
    <w:rsid w:val="00003017"/>
    <w:rsid w:val="00003C30"/>
    <w:rsid w:val="00004941"/>
    <w:rsid w:val="00005835"/>
    <w:rsid w:val="000061D8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5A28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3652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54C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28CE"/>
    <w:rsid w:val="00422A04"/>
    <w:rsid w:val="0042452B"/>
    <w:rsid w:val="00425413"/>
    <w:rsid w:val="004257C6"/>
    <w:rsid w:val="00425FD8"/>
    <w:rsid w:val="004266B3"/>
    <w:rsid w:val="00426B88"/>
    <w:rsid w:val="00427A09"/>
    <w:rsid w:val="00430C9B"/>
    <w:rsid w:val="00431409"/>
    <w:rsid w:val="00432135"/>
    <w:rsid w:val="0043257E"/>
    <w:rsid w:val="00432914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2E36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53A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60B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0812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4F3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4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39E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6EC0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416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87E45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8C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008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17F14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1D8C52-36D4-AC48-BB6B-C03E2100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117</cp:revision>
  <cp:lastPrinted>2020-07-13T03:01:00Z</cp:lastPrinted>
  <dcterms:created xsi:type="dcterms:W3CDTF">2020-07-20T03:46:00Z</dcterms:created>
  <dcterms:modified xsi:type="dcterms:W3CDTF">2020-11-05T07:59:00Z</dcterms:modified>
</cp:coreProperties>
</file>