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3212" w:rsidRDefault="00FE3212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8650AA" w:rsidP="00C1124B">
      <w:pPr>
        <w:pStyle w:val="02"/>
      </w:pPr>
      <w:r>
        <w:lastRenderedPageBreak/>
        <w:t>食管胃癌/胃肠道间质瘤NCCN指南相关基因</w:t>
      </w:r>
    </w:p>
    <w:p w:rsidR="00706AFC" w:rsidRDefault="00706AFC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706AFC" w:rsidTr="00706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706AFC" w:rsidRDefault="008650AA">
            <w:pPr>
              <w:spacing w:before="120" w:after="120"/>
              <w:ind w:left="84" w:right="84"/>
            </w:pPr>
            <w:r>
              <w:t>检测基因</w:t>
            </w:r>
          </w:p>
        </w:tc>
        <w:tc>
          <w:tcPr>
            <w:tcW w:w="6236" w:type="dxa"/>
          </w:tcPr>
          <w:p w:rsidR="00706AFC" w:rsidRDefault="008650AA">
            <w:pPr>
              <w:ind w:left="84" w:right="84"/>
            </w:pPr>
            <w:r>
              <w:t>检测意义</w:t>
            </w:r>
          </w:p>
        </w:tc>
        <w:tc>
          <w:tcPr>
            <w:tcW w:w="2268" w:type="dxa"/>
          </w:tcPr>
          <w:p w:rsidR="00706AFC" w:rsidRDefault="008650AA">
            <w:pPr>
              <w:ind w:left="84" w:right="84"/>
            </w:pPr>
            <w:r>
              <w:t>检测结果</w:t>
            </w:r>
          </w:p>
        </w:tc>
      </w:tr>
      <w:tr w:rsidR="00706AFC" w:rsidTr="00706AF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ERBB2</w:t>
            </w:r>
          </w:p>
        </w:tc>
        <w:tc>
          <w:tcPr>
            <w:tcW w:w="6236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建议在诊断时对所有确诊或怀疑有转移性疾病的胃腺癌患者进行HER2过表达或扩增的检测。考虑进行曲妥珠单抗治疗的不可手术的局部晚期或转移性食管癌/EGJ患者应进行HER2过表达或扩增的检测。</w:t>
            </w:r>
          </w:p>
        </w:tc>
        <w:tc>
          <w:tcPr>
            <w:tcW w:w="2268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{%p if nccn.ERBB2.f %}</w:t>
            </w:r>
          </w:p>
          <w:p w:rsidR="00706AFC" w:rsidRPr="00140952" w:rsidRDefault="008650AA">
            <w:pPr>
              <w:spacing w:before="120" w:after="120"/>
              <w:rPr>
                <w:color w:val="FF631C"/>
              </w:rPr>
            </w:pPr>
            <w:r w:rsidRPr="00140952">
              <w:rPr>
                <w:color w:val="FF631C"/>
              </w:rPr>
              <w:t>{{ nccn.ERBB2.r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{{ nccn.ERBB2.r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706AFC" w:rsidTr="00706AF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KIT</w:t>
            </w:r>
          </w:p>
        </w:tc>
        <w:tc>
          <w:tcPr>
            <w:tcW w:w="6236" w:type="dxa"/>
            <w:vMerge w:val="restart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大约80％的GIST在KIT基因中有突变；另有5％–10％的GIST在PDGFRA基因中有突变。KIT和PDGFRA突变的存在和类型与预后没有密切关系。大约10％–15％的GIST在KIT或PDGFRA中没有突变，这些GIST中的绝大多数具有琥珀酸脱氢酶复合物（SDH）的功能失活，这可以通过在IHC检测SDHB的缺乏。SDH复合物的失活可能是由于突变或表观遗传沉默所致。少数保留SDH表达的GIST具有NF1失活突变或BRAF中的活化突变。在晚期GIST的患者中，KIT外显子11突变时，大约90％的患者会从伊马替尼中获益；KIT外显子9突变时，约有50％的患者会从伊马替尼中受益，并且使用800毫克伊马替尼而不是标准400毫克剂量可以改善反应的可能性。PDGFRA基因中的大多数突变与对伊马替尼的反应有关，但D842V例外。在没有KIT和PDGFRA突变的情况下，只有部分GIST晚期患者可以从伊马替尼中获益，尽管已知SDH缺乏或具有替代性驱动因素的肿瘤（例如NF1，BRAF）不太可能受益。具有耐药性的转移性疾病通常是KIT或PDGFRA中继发的伊马替尼耐药性突变的结果。舒尼替尼治疗适用于伊马替尼耐药或伊马替尼不耐受的患者。瑞戈非尼适用于伊马替尼和舒尼替尼使用后疾病进展患者。</w:t>
            </w:r>
          </w:p>
        </w:tc>
        <w:tc>
          <w:tcPr>
            <w:tcW w:w="2268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nccn.KIT.f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706AFC" w:rsidRPr="00140952" w:rsidRDefault="008650AA">
            <w:pPr>
              <w:spacing w:before="120" w:after="120"/>
              <w:rPr>
                <w:color w:val="FF631C"/>
              </w:rPr>
            </w:pPr>
            <w:r w:rsidRPr="00140952">
              <w:rPr>
                <w:color w:val="FF631C"/>
              </w:rPr>
              <w:t xml:space="preserve">{{ </w:t>
            </w:r>
            <w:proofErr w:type="spellStart"/>
            <w:r w:rsidRPr="00140952">
              <w:rPr>
                <w:color w:val="FF631C"/>
              </w:rPr>
              <w:t>nccn.KIT.r</w:t>
            </w:r>
            <w:proofErr w:type="spellEnd"/>
            <w:r w:rsidRPr="00140952">
              <w:rPr>
                <w:color w:val="FF631C"/>
              </w:rPr>
              <w:t xml:space="preserve">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>p e</w:t>
            </w:r>
            <w:bookmarkStart w:id="0" w:name="_GoBack"/>
            <w:bookmarkEnd w:id="0"/>
            <w:r w:rsidR="008650AA">
              <w:rPr>
                <w:color w:val="595959"/>
              </w:rPr>
              <w:t xml:space="preserve">lse </w:t>
            </w:r>
            <w:r>
              <w:rPr>
                <w:color w:val="595959"/>
              </w:rPr>
              <w:t>%}</w:t>
            </w:r>
          </w:p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nccn.KIT.r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706AFC" w:rsidTr="00706AF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PDGFRA</w:t>
            </w:r>
          </w:p>
        </w:tc>
        <w:tc>
          <w:tcPr>
            <w:tcW w:w="2880" w:type="dxa"/>
            <w:vMerge/>
          </w:tcPr>
          <w:p w:rsidR="00706AFC" w:rsidRDefault="00706AFC">
            <w:pPr>
              <w:spacing w:before="120" w:after="120"/>
            </w:pPr>
          </w:p>
        </w:tc>
        <w:tc>
          <w:tcPr>
            <w:tcW w:w="2268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nccn.PDGFRA.f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706AFC" w:rsidRDefault="008650AA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nccn.PDGFRA.r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nccn.PDGFRA.r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706AFC" w:rsidTr="00706AF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>BRAF</w:t>
            </w:r>
          </w:p>
        </w:tc>
        <w:tc>
          <w:tcPr>
            <w:tcW w:w="2880" w:type="dxa"/>
            <w:vMerge/>
          </w:tcPr>
          <w:p w:rsidR="00706AFC" w:rsidRDefault="00706AFC">
            <w:pPr>
              <w:spacing w:before="120" w:after="120"/>
            </w:pPr>
          </w:p>
        </w:tc>
        <w:tc>
          <w:tcPr>
            <w:tcW w:w="2268" w:type="dxa"/>
          </w:tcPr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nccn.BRAF.f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706AFC" w:rsidRDefault="008650AA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nccn.BRAF.r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706AFC" w:rsidRDefault="008650AA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nccn.BRAF.r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706AFC" w:rsidRDefault="00140952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8650AA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</w:tbl>
    <w:p w:rsidR="00706AFC" w:rsidRDefault="008650AA">
      <w:pPr>
        <w:pStyle w:val="03"/>
      </w:pPr>
      <w:r>
        <w:t>NCCN Clinical Practice Guidelines in Oncology (NCCN Guidelines</w:t>
      </w:r>
      <w:r>
        <w:t>®</w:t>
      </w:r>
      <w:r>
        <w:t>) Gastric Cancer Version 3.2019</w:t>
      </w:r>
      <w:r>
        <w:br/>
        <w:t>NCCN Clinical Practice Guidelines in Oncology (NCCN Guidelines</w:t>
      </w:r>
      <w:r>
        <w:t>®</w:t>
      </w:r>
      <w:r>
        <w:t>) Esophageal and Esophagogastric Junction Cancers Version 3.2019</w:t>
      </w:r>
      <w:r>
        <w:br/>
        <w:t>NCCN Clinical Practice Guidelines in Oncology (NCCN Guidelines</w:t>
      </w:r>
      <w:r>
        <w:t>®</w:t>
      </w:r>
      <w:r>
        <w:t>) Soft Tissue Sarcoma Version 4.2019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0F52" w:rsidRDefault="002C0F52" w:rsidP="00E96490">
      <w:r>
        <w:separator/>
      </w:r>
    </w:p>
  </w:endnote>
  <w:endnote w:type="continuationSeparator" w:id="0">
    <w:p w:rsidR="002C0F52" w:rsidRDefault="002C0F52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0F52" w:rsidRDefault="002C0F52" w:rsidP="00E96490">
      <w:r>
        <w:separator/>
      </w:r>
    </w:p>
  </w:footnote>
  <w:footnote w:type="continuationSeparator" w:id="0">
    <w:p w:rsidR="002C0F52" w:rsidRDefault="002C0F52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0952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0F52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AFC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0AA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212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AFD8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3F223-E867-BE42-84A3-44C3B2A6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108</cp:revision>
  <cp:lastPrinted>2020-07-13T03:01:00Z</cp:lastPrinted>
  <dcterms:created xsi:type="dcterms:W3CDTF">2020-07-20T03:46:00Z</dcterms:created>
  <dcterms:modified xsi:type="dcterms:W3CDTF">2020-11-05T07:52:00Z</dcterms:modified>
</cp:coreProperties>
</file>