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58C705C" w:rsidR="00BE5369" w:rsidRDefault="005F1DB3" w:rsidP="005F1DB3">
      <w:pPr>
        <w:pStyle w:val="010"/>
        <w:ind w:firstLine="130"/>
      </w:pPr>
      <w:r w:rsidRPr="005F1DB3">
        <w:t>检测结果</w:t>
      </w:r>
    </w:p>
    <w:tbl>
      <w:tblPr>
        <w:tblStyle w:val="1summarycommon"/>
        <w:tblW w:w="0" w:type="auto"/>
        <w:tblLook w:val="04A0" w:firstRow="1" w:lastRow="0" w:firstColumn="1" w:lastColumn="0" w:noHBand="0" w:noVBand="1"/>
      </w:tblPr>
      <w:tblGrid>
        <w:gridCol w:w="2037"/>
        <w:gridCol w:w="2037"/>
        <w:gridCol w:w="2038"/>
        <w:gridCol w:w="2038"/>
        <w:gridCol w:w="2038"/>
      </w:tblGrid>
      <w:tr w:rsidR="005F1DB3" w14:paraId="1526BEBC" w14:textId="77777777" w:rsidTr="005F1DB3">
        <w:trPr>
          <w:cnfStyle w:val="100000000000" w:firstRow="1" w:lastRow="0" w:firstColumn="0" w:lastColumn="0" w:oddVBand="0" w:evenVBand="0" w:oddHBand="0" w:evenHBand="0" w:firstRowFirstColumn="0" w:firstRowLastColumn="0" w:lastRowFirstColumn="0" w:lastRowLastColumn="0"/>
        </w:trPr>
        <w:tc>
          <w:tcPr>
            <w:tcW w:w="2037" w:type="dxa"/>
          </w:tcPr>
          <w:p w14:paraId="56D0261F" w14:textId="07E5F829" w:rsidR="005F1DB3" w:rsidRDefault="005F1DB3" w:rsidP="005F1DB3">
            <w:pPr>
              <w:ind w:left="84" w:right="84"/>
              <w:rPr>
                <w:rFonts w:hint="eastAsia"/>
              </w:rPr>
            </w:pPr>
            <w:r w:rsidRPr="0057608A">
              <w:t>基因</w:t>
            </w:r>
          </w:p>
        </w:tc>
        <w:tc>
          <w:tcPr>
            <w:tcW w:w="2037" w:type="dxa"/>
          </w:tcPr>
          <w:p w14:paraId="0A534589" w14:textId="1C6DEF19" w:rsidR="005F1DB3" w:rsidRDefault="005F1DB3" w:rsidP="005F1DB3">
            <w:pPr>
              <w:ind w:left="84" w:right="84"/>
              <w:rPr>
                <w:rFonts w:hint="eastAsia"/>
              </w:rPr>
            </w:pPr>
            <w:r w:rsidRPr="0057608A">
              <w:t>变异描述</w:t>
            </w:r>
          </w:p>
        </w:tc>
        <w:tc>
          <w:tcPr>
            <w:tcW w:w="2038" w:type="dxa"/>
          </w:tcPr>
          <w:p w14:paraId="379F5D2E" w14:textId="407A6062" w:rsidR="005F1DB3" w:rsidRDefault="005F1DB3" w:rsidP="005F1DB3">
            <w:pPr>
              <w:ind w:left="84" w:right="84"/>
              <w:rPr>
                <w:rFonts w:hint="eastAsia"/>
              </w:rPr>
            </w:pPr>
            <w:r w:rsidRPr="0057608A">
              <w:t>变异方式</w:t>
            </w:r>
          </w:p>
        </w:tc>
        <w:tc>
          <w:tcPr>
            <w:tcW w:w="2038" w:type="dxa"/>
          </w:tcPr>
          <w:p w14:paraId="77C68154" w14:textId="31D06253" w:rsidR="005F1DB3" w:rsidRDefault="005F1DB3" w:rsidP="005F1DB3">
            <w:pPr>
              <w:ind w:left="84" w:right="84"/>
              <w:rPr>
                <w:rFonts w:hint="eastAsia"/>
              </w:rPr>
            </w:pPr>
            <w:r w:rsidRPr="0057608A">
              <w:t>基因型</w:t>
            </w:r>
          </w:p>
        </w:tc>
        <w:tc>
          <w:tcPr>
            <w:tcW w:w="2038" w:type="dxa"/>
          </w:tcPr>
          <w:p w14:paraId="155C68A2" w14:textId="2258D203" w:rsidR="005F1DB3" w:rsidRDefault="005F1DB3" w:rsidP="005F1DB3">
            <w:pPr>
              <w:ind w:left="84" w:right="84"/>
              <w:rPr>
                <w:rFonts w:hint="eastAsia"/>
              </w:rPr>
            </w:pPr>
            <w:r w:rsidRPr="0057608A">
              <w:t>突变分类</w:t>
            </w:r>
          </w:p>
        </w:tc>
      </w:tr>
      <w:tr w:rsidR="005F1DB3" w14:paraId="1F9B3760" w14:textId="77777777" w:rsidTr="005F1DB3">
        <w:tblPrEx>
          <w:tblCellMar>
            <w:top w:w="142" w:type="dxa"/>
            <w:left w:w="108" w:type="dxa"/>
            <w:bottom w:w="142" w:type="dxa"/>
            <w:right w:w="108" w:type="dxa"/>
          </w:tblCellMar>
        </w:tblPrEx>
        <w:tc>
          <w:tcPr>
            <w:tcW w:w="2037" w:type="dxa"/>
          </w:tcPr>
          <w:p w14:paraId="344DC1EF" w14:textId="77777777" w:rsidR="005F1DB3" w:rsidRDefault="005F1DB3" w:rsidP="00C1124B">
            <w:pPr>
              <w:spacing w:before="120" w:after="120"/>
              <w:rPr>
                <w:rFonts w:hint="eastAsia"/>
              </w:rPr>
            </w:pPr>
          </w:p>
        </w:tc>
        <w:tc>
          <w:tcPr>
            <w:tcW w:w="2037" w:type="dxa"/>
          </w:tcPr>
          <w:p w14:paraId="2615B1B6" w14:textId="77777777" w:rsidR="005F1DB3" w:rsidRDefault="005F1DB3" w:rsidP="00C1124B">
            <w:pPr>
              <w:spacing w:before="120" w:after="120"/>
              <w:rPr>
                <w:rFonts w:hint="eastAsia"/>
              </w:rPr>
            </w:pPr>
          </w:p>
        </w:tc>
        <w:tc>
          <w:tcPr>
            <w:tcW w:w="2038" w:type="dxa"/>
          </w:tcPr>
          <w:p w14:paraId="294F5C53" w14:textId="77777777" w:rsidR="005F1DB3" w:rsidRDefault="005F1DB3" w:rsidP="00C1124B">
            <w:pPr>
              <w:spacing w:before="120" w:after="120"/>
              <w:rPr>
                <w:rFonts w:hint="eastAsia"/>
              </w:rPr>
            </w:pPr>
          </w:p>
        </w:tc>
        <w:tc>
          <w:tcPr>
            <w:tcW w:w="2038" w:type="dxa"/>
          </w:tcPr>
          <w:p w14:paraId="6495A162" w14:textId="77777777" w:rsidR="005F1DB3" w:rsidRDefault="005F1DB3" w:rsidP="00C1124B">
            <w:pPr>
              <w:spacing w:before="120" w:after="120"/>
              <w:rPr>
                <w:rFonts w:hint="eastAsia"/>
              </w:rPr>
            </w:pPr>
          </w:p>
        </w:tc>
        <w:tc>
          <w:tcPr>
            <w:tcW w:w="2038" w:type="dxa"/>
          </w:tcPr>
          <w:p w14:paraId="5B5D2682" w14:textId="77777777" w:rsidR="005F1DB3" w:rsidRDefault="005F1DB3" w:rsidP="00C1124B">
            <w:pPr>
              <w:spacing w:before="120" w:after="120"/>
              <w:rPr>
                <w:rFonts w:hint="eastAsia"/>
              </w:rPr>
            </w:pPr>
          </w:p>
        </w:tc>
      </w:tr>
    </w:tbl>
    <w:p w14:paraId="67BF3A28" w14:textId="1C70CF8C" w:rsidR="005F1DB3" w:rsidRDefault="005F1DB3" w:rsidP="00C1124B"/>
    <w:p w14:paraId="2ED6EEE6" w14:textId="2BA39A1A" w:rsidR="005F1DB3" w:rsidRDefault="005F1DB3" w:rsidP="005F1DB3">
      <w:pPr>
        <w:pStyle w:val="02"/>
      </w:pPr>
      <w:r w:rsidRPr="005F1DB3">
        <w:t>致病性/疑似致病性变异</w:t>
      </w:r>
    </w:p>
    <w:p w14:paraId="3E5B97CF" w14:textId="77777777" w:rsidR="005F1DB3" w:rsidRDefault="005F1DB3" w:rsidP="00C1124B">
      <w:pPr>
        <w:rPr>
          <w:rFonts w:hint="eastAsia"/>
        </w:rPr>
      </w:pPr>
    </w:p>
    <w:p w14:paraId="3127A19B" w14:textId="77777777" w:rsidR="005F1DB3" w:rsidRDefault="005F1DB3" w:rsidP="005F1DB3">
      <w:pPr>
        <w:pStyle w:val="04"/>
      </w:pPr>
      <w:r>
        <w:t>对相关遗传性肿瘤风险基因的检测范围包括相关基因的全外显子及毗邻剪接区域，检测的变异类型为点突变、小片段插入/缺失和重复等。对上述基因的检测不包括大片段重排和基因组结构变异（例如复制与倒位重排、及位于基因调节区或深度内含子区的突变）。</w:t>
      </w:r>
    </w:p>
    <w:p w14:paraId="586F84A2" w14:textId="77777777" w:rsidR="005F1DB3" w:rsidRDefault="005F1DB3" w:rsidP="005F1DB3">
      <w:pPr>
        <w:pStyle w:val="04"/>
      </w:pPr>
      <w:r>
        <w:t>对相关遗传性肿瘤风险基因的检测灵敏度为：MLH1</w:t>
      </w:r>
      <w:bookmarkStart w:id="0" w:name="_GoBack"/>
      <w:bookmarkEnd w:id="0"/>
      <w:r>
        <w:t>/MSH2/MSH6&gt;95%，其他基因&gt;90%。</w:t>
      </w:r>
    </w:p>
    <w:p w14:paraId="49402613" w14:textId="77777777" w:rsidR="005F1DB3" w:rsidRDefault="005F1DB3" w:rsidP="005F1DB3">
      <w:pPr>
        <w:pStyle w:val="04"/>
      </w:pPr>
      <w:r>
        <w:t>本报告根据人类基因组变异协会（HGVS：Human Genome Variation Society）规则进行变异的描述。根据美国医学遗传学与基因组学学会（The American College of Medical Genetics and Genomics，ACMG）遗传变异分类标准与指南进行突变的分类注释，即对变异分为五类：致病性（Pathogenic，5类），疑似致病性（likely pathogenic，4类），意义不明确的（uncertain significance，3类），疑似良性（likely benign，2类），和良性（benign，1类）。本报告对1类和2类变异不做展示。</w:t>
      </w:r>
    </w:p>
    <w:p w14:paraId="3D017DF8" w14:textId="77777777" w:rsidR="005F1DB3" w:rsidRDefault="005F1DB3" w:rsidP="005F1DB3">
      <w:pPr>
        <w:pStyle w:val="04"/>
      </w:pPr>
      <w:r>
        <w:t>本报告对变异的分类注释的参考信息来源于外部数据库（</w:t>
      </w:r>
      <w:proofErr w:type="spellStart"/>
      <w:r>
        <w:t>Clinvar</w:t>
      </w:r>
      <w:proofErr w:type="spellEnd"/>
      <w:r>
        <w:t>，LOVD等），文献报道和实验室内部数据库。随着研究的进展，新的证据可能会被发现，使变异（主要是3类变异）可以进一步分类。</w:t>
      </w:r>
    </w:p>
    <w:p w14:paraId="754EB11C" w14:textId="7D4A6F7A" w:rsidR="005F1DB3" w:rsidRDefault="005F1DB3" w:rsidP="005F1DB3">
      <w:pPr>
        <w:pStyle w:val="04"/>
        <w:rPr>
          <w:rFonts w:hint="eastAsia"/>
        </w:rPr>
      </w:pPr>
      <w:r>
        <w:t>本报告不能排除的可能会增加受检者患癌风险的其他因素包括：1）潜在的其他未被研究报道的遗传性因素；2）可能增加患癌风险的家族生活环境与生活方式。</w:t>
      </w:r>
    </w:p>
    <w:sectPr w:rsidR="005F1DB3"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C4E08" w14:textId="77777777" w:rsidR="003D1230" w:rsidRDefault="003D1230" w:rsidP="00E96490">
      <w:r>
        <w:separator/>
      </w:r>
    </w:p>
  </w:endnote>
  <w:endnote w:type="continuationSeparator" w:id="0">
    <w:p w14:paraId="31041CA6" w14:textId="77777777" w:rsidR="003D1230" w:rsidRDefault="003D1230"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Arial Unicode MS"/>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99589" w14:textId="77777777" w:rsidR="003D1230" w:rsidRDefault="003D1230" w:rsidP="00E96490">
      <w:r>
        <w:separator/>
      </w:r>
    </w:p>
  </w:footnote>
  <w:footnote w:type="continuationSeparator" w:id="0">
    <w:p w14:paraId="481EABAE" w14:textId="77777777" w:rsidR="003D1230" w:rsidRDefault="003D1230"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314"/>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1230"/>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1DB3"/>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5BF1-809A-4C41-B8E4-8A26B7D1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582</Characters>
  <Application>Microsoft Office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3</cp:revision>
  <cp:lastPrinted>2020-07-13T03:01:00Z</cp:lastPrinted>
  <dcterms:created xsi:type="dcterms:W3CDTF">2020-11-13T06:12:00Z</dcterms:created>
  <dcterms:modified xsi:type="dcterms:W3CDTF">2020-11-13T06:15:00Z</dcterms:modified>
</cp:coreProperties>
</file>