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2C4B6" w14:textId="77777777" w:rsidR="00057F0C" w:rsidRDefault="00057F0C" w:rsidP="00057F0C">
      <w:pPr>
        <w:pStyle w:val="02"/>
      </w:pPr>
      <w:r>
        <w:t>同源重组缺陷分析（</w:t>
      </w:r>
      <w:proofErr w:type="spellStart"/>
      <w:r>
        <w:t>SigMA</w:t>
      </w:r>
      <w:proofErr w:type="spellEnd"/>
      <w:r>
        <w:t>算法）*</w:t>
      </w:r>
    </w:p>
    <w:p w14:paraId="0E2B872D" w14:textId="77777777" w:rsidR="00057F0C" w:rsidRDefault="00057F0C" w:rsidP="00057F0C"/>
    <w:p w14:paraId="36ED7721" w14:textId="77777777" w:rsidR="00057F0C" w:rsidRDefault="00057F0C" w:rsidP="00057F0C">
      <w:r>
        <w:t>*仅供科研使用</w:t>
      </w:r>
    </w:p>
    <w:p w14:paraId="4F000627" w14:textId="77777777" w:rsidR="00057F0C" w:rsidRDefault="00057F0C" w:rsidP="00057F0C"/>
    <w:p w14:paraId="117F147E" w14:textId="32B6C07D" w:rsidR="00057F0C" w:rsidRDefault="00057F0C" w:rsidP="00057F0C">
      <w:pPr>
        <w:pStyle w:val="06"/>
      </w:pPr>
      <w:r>
        <w:t>多变量突变签名分析（Signature Multivariate Analysis ,</w:t>
      </w:r>
      <w:proofErr w:type="spellStart"/>
      <w:r>
        <w:t>SigMA</w:t>
      </w:r>
      <w:proofErr w:type="spellEnd"/>
      <w:r>
        <w:t xml:space="preserve">）是一种新的计算工具，可用于准确检测靶基因组中与同源重组修复（homologous recombination repair, HR）功能缺陷相关的突变特征。研究表明，采用该算法鉴定为HR缺陷的细胞系显示出对多聚二磷酸腺苷核糖聚合酶抑制剂（poly ADP-ribose polymerase inhibitor, </w:t>
      </w:r>
      <w:proofErr w:type="spellStart"/>
      <w:r>
        <w:t>PARPi</w:t>
      </w:r>
      <w:proofErr w:type="spellEnd"/>
      <w:r>
        <w:t>)的显著反应，且采用该算法鉴定为HR缺陷的卵巢癌患者表现出明显更长的铂存活率。</w:t>
      </w:r>
    </w:p>
    <w:p w14:paraId="209159EA" w14:textId="28033974" w:rsidR="00057F0C" w:rsidRDefault="00057F0C" w:rsidP="00057F0C">
      <w:pPr>
        <w:pStyle w:val="06"/>
      </w:pPr>
      <w:r>
        <w:t>突变签名分析是一种强大的计算体细胞突变产生过程的算法。由于不同的过程会产生不同的突变类型（例如紫外线辐射常导致CC或CT序列的C-to-T改变），所以从概念上讲，这种分析是基于观察特异性的碱基变化以判断出不同的突变产生过程。目前，WES和WGS的数千个肿瘤样本测序结果已鉴定了癌症中的近40种突变签名，其中一些签名已确定与特定的突变过程相匹配，包括内源性的（例如复制时钟，DNA修复机制缺陷）和外源性的（例如吸烟，紫外线辐射）。</w:t>
      </w:r>
    </w:p>
    <w:p w14:paraId="59902BEA" w14:textId="77777777" w:rsidR="00057F0C" w:rsidRDefault="00057F0C" w:rsidP="00057F0C">
      <w:pPr>
        <w:pStyle w:val="06"/>
      </w:pPr>
      <w:r>
        <w:t>在乳腺癌中，一项具有里程碑意义的560人全基因组研究及后续研究发现，这些突变签名中的一种‘Signature 3’ (Sig3)，对应HR缺陷。可以在如下肿瘤中观察到这种突变签名：BRCA1/2完全失活-无论体细胞突变或胚系突变，BRCA1基因高甲基化，或PALB2/RAD51D基因的功能缺失性突变。在体外实验中，BRCA−/−细胞系中可观察到Sig3，这是其关联的直接证据。</w:t>
      </w:r>
    </w:p>
    <w:p w14:paraId="0AF19B75" w14:textId="77777777" w:rsidR="00057F0C" w:rsidRDefault="00057F0C" w:rsidP="00057F0C">
      <w:pPr>
        <w:pStyle w:val="06"/>
      </w:pPr>
      <w:r>
        <w:t>重要的是，越来越多的证据表明，Sig3不仅局限于BRCA1/2或其他HR相关基因胚系突变，这在临床中有重要意义，因为那些在已知HR基因中无缺陷但是表现出Sig3的患者可能受益于</w:t>
      </w:r>
      <w:proofErr w:type="spellStart"/>
      <w:r>
        <w:t>PARPi</w:t>
      </w:r>
      <w:proofErr w:type="spellEnd"/>
      <w:r>
        <w:t>治疗。最近一项乳腺癌类的研究已表明，高Sig3突变与</w:t>
      </w:r>
      <w:proofErr w:type="spellStart"/>
      <w:r>
        <w:t>PARPi</w:t>
      </w:r>
      <w:proofErr w:type="spellEnd"/>
      <w:r>
        <w:t>响应更好相关。</w:t>
      </w:r>
    </w:p>
    <w:p w14:paraId="66C1CBB5" w14:textId="6D024D06" w:rsidR="00CC1D6C" w:rsidRDefault="00057F0C" w:rsidP="00057F0C">
      <w:pPr>
        <w:pStyle w:val="06"/>
      </w:pPr>
      <w:r>
        <w:t>以往对突变签名分析是基于全外显子组或全基因组测序数据的，但WES/WGS在临床使用存在着较大的局限性。</w:t>
      </w:r>
      <w:proofErr w:type="spellStart"/>
      <w:r>
        <w:t>SigMA</w:t>
      </w:r>
      <w:proofErr w:type="spellEnd"/>
      <w:r>
        <w:t>通过采用基于似然度拟合与机器学习相结合，成功实现在Panel测序中鉴定包括Sig3在内的突变签名，是临床基因测序分析的一项重大突破。其对临床的重要意义在于，应用这种方法将有可能大幅增加受益于HR缺陷肿瘤的治疗方案的患者数量。</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tblGrid>
      <w:tr w:rsidR="00057F0C" w14:paraId="035F2CC5" w14:textId="77777777" w:rsidTr="000D63E4">
        <w:trPr>
          <w:trHeight w:val="2778"/>
          <w:jc w:val="center"/>
        </w:trPr>
        <w:tc>
          <w:tcPr>
            <w:tcW w:w="8425" w:type="dxa"/>
            <w:vAlign w:val="bottom"/>
          </w:tcPr>
          <w:p w14:paraId="7E8304E1" w14:textId="5F55A411" w:rsidR="00057F0C" w:rsidRDefault="00057F0C" w:rsidP="00FC5FFC">
            <w:pPr>
              <w:pStyle w:val="06"/>
              <w:jc w:val="center"/>
            </w:pPr>
            <w:r>
              <w:rPr>
                <w:rFonts w:hint="eastAsia"/>
              </w:rPr>
              <w:t>{</w:t>
            </w:r>
            <w:r>
              <w:t xml:space="preserve">{ </w:t>
            </w:r>
            <w:proofErr w:type="spellStart"/>
            <w:r>
              <w:t>pict.</w:t>
            </w:r>
            <w:r w:rsidRPr="00057F0C">
              <w:t>detectdetail</w:t>
            </w:r>
            <w:r>
              <w:t>_sigma_a</w:t>
            </w:r>
            <w:proofErr w:type="spellEnd"/>
            <w:r>
              <w:t xml:space="preserve"> }}</w:t>
            </w:r>
          </w:p>
        </w:tc>
      </w:tr>
    </w:tbl>
    <w:p w14:paraId="082FA32E" w14:textId="29036DFC" w:rsidR="00057F0C" w:rsidRDefault="00057F0C" w:rsidP="00057F0C">
      <w:pPr>
        <w:pStyle w:val="05"/>
      </w:pPr>
      <w:r w:rsidRPr="00057F0C">
        <w:t>a  730个乳腺癌WGS数据根据其签名分数组成簇（cluster）；簇分为四类（Sig3，APOBEC，Clock，MSI）</w:t>
      </w:r>
    </w:p>
    <w:p w14:paraId="039F17D2" w14:textId="77777777" w:rsidR="00057F0C" w:rsidRPr="00057F0C" w:rsidRDefault="00057F0C" w:rsidP="00057F0C"/>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tblGrid>
      <w:tr w:rsidR="00057F0C" w14:paraId="309C6EDF" w14:textId="77777777" w:rsidTr="000D63E4">
        <w:trPr>
          <w:trHeight w:val="3005"/>
          <w:jc w:val="center"/>
        </w:trPr>
        <w:tc>
          <w:tcPr>
            <w:tcW w:w="8617" w:type="dxa"/>
            <w:vAlign w:val="bottom"/>
          </w:tcPr>
          <w:p w14:paraId="0861F263" w14:textId="69F53C0C" w:rsidR="00057F0C" w:rsidRDefault="00057F0C" w:rsidP="00FC5FFC">
            <w:pPr>
              <w:pStyle w:val="06"/>
              <w:jc w:val="center"/>
            </w:pPr>
            <w:r>
              <w:rPr>
                <w:rFonts w:hint="eastAsia"/>
              </w:rPr>
              <w:t>{</w:t>
            </w:r>
            <w:r>
              <w:t xml:space="preserve">{ </w:t>
            </w:r>
            <w:proofErr w:type="spellStart"/>
            <w:r>
              <w:t>pict.</w:t>
            </w:r>
            <w:r w:rsidRPr="00057F0C">
              <w:t>detectdetail</w:t>
            </w:r>
            <w:r>
              <w:t>_sigma_b</w:t>
            </w:r>
            <w:proofErr w:type="spellEnd"/>
            <w:r>
              <w:t xml:space="preserve"> }}</w:t>
            </w:r>
          </w:p>
        </w:tc>
      </w:tr>
    </w:tbl>
    <w:p w14:paraId="7CB05AAD" w14:textId="78748F30" w:rsidR="00057F0C" w:rsidRDefault="00057F0C" w:rsidP="00057F0C">
      <w:pPr>
        <w:pStyle w:val="05"/>
      </w:pPr>
      <w:r w:rsidRPr="00057F0C">
        <w:t>图 b  四种其他肿瘤类型的簇分类：卵巢腺癌，骨肉瘤，前列腺腺癌，胰腺癌。</w:t>
      </w:r>
    </w:p>
    <w:p w14:paraId="2AA60BEA" w14:textId="77777777" w:rsidR="00057F0C" w:rsidRPr="00057F0C" w:rsidRDefault="00057F0C" w:rsidP="00057F0C"/>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8"/>
      </w:tblGrid>
      <w:tr w:rsidR="00057F0C" w14:paraId="5B0160D4" w14:textId="77777777" w:rsidTr="000D63E4">
        <w:trPr>
          <w:trHeight w:val="3685"/>
          <w:jc w:val="center"/>
        </w:trPr>
        <w:tc>
          <w:tcPr>
            <w:tcW w:w="9978" w:type="dxa"/>
            <w:vAlign w:val="bottom"/>
          </w:tcPr>
          <w:p w14:paraId="59BA4BF8" w14:textId="0E3F466E" w:rsidR="00057F0C" w:rsidRDefault="00057F0C" w:rsidP="00FC5FFC">
            <w:pPr>
              <w:pStyle w:val="06"/>
              <w:jc w:val="center"/>
            </w:pPr>
            <w:r>
              <w:rPr>
                <w:rFonts w:hint="eastAsia"/>
              </w:rPr>
              <w:lastRenderedPageBreak/>
              <w:t>{</w:t>
            </w:r>
            <w:r>
              <w:t xml:space="preserve">{ </w:t>
            </w:r>
            <w:proofErr w:type="spellStart"/>
            <w:r>
              <w:t>pict.</w:t>
            </w:r>
            <w:r w:rsidRPr="00057F0C">
              <w:t>detectdetail</w:t>
            </w:r>
            <w:r>
              <w:t>_sigma_c</w:t>
            </w:r>
            <w:proofErr w:type="spellEnd"/>
            <w:r>
              <w:t xml:space="preserve"> }}</w:t>
            </w:r>
          </w:p>
        </w:tc>
      </w:tr>
    </w:tbl>
    <w:p w14:paraId="43A7EE43" w14:textId="0602AEE9" w:rsidR="00057F0C" w:rsidRDefault="00057F0C" w:rsidP="00057F0C">
      <w:pPr>
        <w:pStyle w:val="05"/>
      </w:pPr>
      <w:r>
        <w:t>图 c 与独立使用Cosine算法和NNLS算法相比，</w:t>
      </w:r>
      <w:proofErr w:type="spellStart"/>
      <w:r>
        <w:t>SigMA</w:t>
      </w:r>
      <w:proofErr w:type="spellEnd"/>
      <w:r>
        <w:t>的灵敏度曲线，从左至右依次为400+ Gene Panel、WES、WGS。</w:t>
      </w:r>
    </w:p>
    <w:p w14:paraId="5EEC945C" w14:textId="1C6C68F1" w:rsidR="00057F0C" w:rsidRDefault="00057F0C" w:rsidP="00057F0C">
      <w:pPr>
        <w:pStyle w:val="05"/>
      </w:pPr>
      <w:r>
        <w:t>经内部数据的计算机模拟计算，鼎晶</w:t>
      </w:r>
      <w:proofErr w:type="spellStart"/>
      <w:r>
        <w:t>OncoDrug</w:t>
      </w:r>
      <w:proofErr w:type="spellEnd"/>
      <w:r>
        <w:t>-Seq泛癌种580 Gene Panel在性能上有进一步提升。</w:t>
      </w:r>
    </w:p>
    <w:p w14:paraId="22B442D4" w14:textId="77777777" w:rsidR="00057F0C" w:rsidRPr="00057F0C" w:rsidRDefault="00057F0C" w:rsidP="00057F0C"/>
    <w:tbl>
      <w:tblPr>
        <w:tblStyle w:val="ab"/>
        <w:tblW w:w="0" w:type="auto"/>
        <w:jc w:val="center"/>
        <w:tblLook w:val="04A0" w:firstRow="1" w:lastRow="0" w:firstColumn="1" w:lastColumn="0" w:noHBand="0" w:noVBand="1"/>
      </w:tblPr>
      <w:tblGrid>
        <w:gridCol w:w="9859"/>
      </w:tblGrid>
      <w:tr w:rsidR="00057F0C" w14:paraId="04818C73" w14:textId="77777777" w:rsidTr="000D63E4">
        <w:trPr>
          <w:trHeight w:val="2438"/>
          <w:jc w:val="center"/>
        </w:trPr>
        <w:tc>
          <w:tcPr>
            <w:tcW w:w="9859" w:type="dxa"/>
            <w:tcBorders>
              <w:top w:val="nil"/>
              <w:left w:val="nil"/>
              <w:bottom w:val="nil"/>
              <w:right w:val="nil"/>
            </w:tcBorders>
            <w:vAlign w:val="bottom"/>
          </w:tcPr>
          <w:p w14:paraId="3504641D" w14:textId="06A1D482" w:rsidR="00057F0C" w:rsidRDefault="00057F0C" w:rsidP="00FC5FFC">
            <w:pPr>
              <w:pStyle w:val="06"/>
              <w:jc w:val="center"/>
            </w:pPr>
            <w:r>
              <w:rPr>
                <w:rFonts w:hint="eastAsia"/>
              </w:rPr>
              <w:t>{</w:t>
            </w:r>
            <w:r>
              <w:t xml:space="preserve">{ </w:t>
            </w:r>
            <w:proofErr w:type="spellStart"/>
            <w:r w:rsidR="00E42DA0">
              <w:t>pict.</w:t>
            </w:r>
            <w:r w:rsidR="00E42DA0" w:rsidRPr="00057F0C">
              <w:t>detectdetail</w:t>
            </w:r>
            <w:r w:rsidR="00E42DA0">
              <w:t>_sigma_d</w:t>
            </w:r>
            <w:proofErr w:type="spellEnd"/>
            <w:r>
              <w:t xml:space="preserve"> }}</w:t>
            </w:r>
          </w:p>
        </w:tc>
      </w:tr>
    </w:tbl>
    <w:p w14:paraId="78F5B811" w14:textId="507EF2F7" w:rsidR="00057F0C" w:rsidRDefault="00057F0C" w:rsidP="00057F0C">
      <w:pPr>
        <w:pStyle w:val="05"/>
      </w:pPr>
      <w:r w:rsidRPr="00057F0C">
        <w:t>图 d  同一样本WGS与Panel模拟的突变谱示例。</w:t>
      </w:r>
    </w:p>
    <w:p w14:paraId="313BC938" w14:textId="77777777" w:rsidR="00057F0C" w:rsidRPr="00057F0C" w:rsidRDefault="00057F0C" w:rsidP="00057F0C"/>
    <w:tbl>
      <w:tblPr>
        <w:tblStyle w:val="ab"/>
        <w:tblW w:w="0" w:type="auto"/>
        <w:jc w:val="center"/>
        <w:tblLook w:val="04A0" w:firstRow="1" w:lastRow="0" w:firstColumn="1" w:lastColumn="0" w:noHBand="0" w:noVBand="1"/>
      </w:tblPr>
      <w:tblGrid>
        <w:gridCol w:w="8566"/>
      </w:tblGrid>
      <w:tr w:rsidR="00057F0C" w14:paraId="4848AF1C" w14:textId="77777777" w:rsidTr="000D63E4">
        <w:trPr>
          <w:trHeight w:val="4132"/>
          <w:jc w:val="center"/>
        </w:trPr>
        <w:tc>
          <w:tcPr>
            <w:tcW w:w="8566" w:type="dxa"/>
            <w:tcBorders>
              <w:top w:val="nil"/>
              <w:left w:val="nil"/>
              <w:bottom w:val="nil"/>
              <w:right w:val="nil"/>
            </w:tcBorders>
            <w:vAlign w:val="bottom"/>
          </w:tcPr>
          <w:p w14:paraId="5C807D02" w14:textId="7CC436CB" w:rsidR="00057F0C" w:rsidRDefault="00057F0C" w:rsidP="00FC5FFC">
            <w:pPr>
              <w:pStyle w:val="06"/>
              <w:jc w:val="center"/>
            </w:pPr>
            <w:r>
              <w:rPr>
                <w:rFonts w:hint="eastAsia"/>
              </w:rPr>
              <w:t>{</w:t>
            </w:r>
            <w:r>
              <w:t xml:space="preserve">{ </w:t>
            </w:r>
            <w:proofErr w:type="spellStart"/>
            <w:r>
              <w:t>pict.</w:t>
            </w:r>
            <w:r w:rsidRPr="00057F0C">
              <w:t>detectdetail</w:t>
            </w:r>
            <w:r>
              <w:t>_sigma_e</w:t>
            </w:r>
            <w:proofErr w:type="spellEnd"/>
            <w:r>
              <w:t xml:space="preserve"> }}</w:t>
            </w:r>
          </w:p>
        </w:tc>
      </w:tr>
    </w:tbl>
    <w:p w14:paraId="2772A8E7" w14:textId="2C0DAA47" w:rsidR="00057F0C" w:rsidRDefault="00057F0C" w:rsidP="00057F0C">
      <w:pPr>
        <w:pStyle w:val="05"/>
      </w:pPr>
      <w:r w:rsidRPr="00057F0C">
        <w:t>图 e  在多种肿瘤细胞系研究中，四种PARP抑制剂在</w:t>
      </w:r>
      <w:proofErr w:type="spellStart"/>
      <w:r w:rsidRPr="00057F0C">
        <w:t>SigMA</w:t>
      </w:r>
      <w:proofErr w:type="spellEnd"/>
      <w:r w:rsidRPr="00057F0C">
        <w:t>评价为Sig3-和Sig3+细胞中的pIC50值的综合结果（n = 366,371,369和340）。</w:t>
      </w:r>
    </w:p>
    <w:p w14:paraId="5C68514A" w14:textId="234A373E" w:rsidR="00057F0C" w:rsidRDefault="00057F0C" w:rsidP="00057F0C"/>
    <w:p w14:paraId="71360A01" w14:textId="6DB0897C" w:rsidR="00057F0C" w:rsidRDefault="00057F0C" w:rsidP="00057F0C">
      <w:pPr>
        <w:pStyle w:val="04"/>
      </w:pPr>
      <w:r w:rsidRPr="00057F0C">
        <w:t>Abbreviation Explanation -FPR: False positive rate假阳性率；Cosine余弦相似性，一种相似度算法；NNLS：Non-negative Least Squares非负最小二乘法，一种经典签名分析算法。WGS: Whole Genome Sequencing全基因组测序。pIC50达到50%抑制效果时抑制剂的浓度值的10的负对数。</w:t>
      </w:r>
    </w:p>
    <w:p w14:paraId="28974918" w14:textId="20945943" w:rsidR="00057F0C" w:rsidRDefault="00057F0C" w:rsidP="00057F0C"/>
    <w:p w14:paraId="7631130A" w14:textId="489C636A" w:rsidR="00057F0C" w:rsidRDefault="00057F0C" w:rsidP="00057F0C">
      <w:pPr>
        <w:pStyle w:val="06"/>
      </w:pPr>
      <w:r w:rsidRPr="00057F0C">
        <w:t>参考文</w:t>
      </w:r>
      <w:bookmarkStart w:id="0" w:name="_GoBack"/>
      <w:bookmarkEnd w:id="0"/>
      <w:r w:rsidRPr="00057F0C">
        <w:t>献：</w:t>
      </w:r>
    </w:p>
    <w:p w14:paraId="5410B8F4" w14:textId="77777777" w:rsidR="00057F0C" w:rsidRDefault="00057F0C" w:rsidP="00057F0C"/>
    <w:p w14:paraId="7F6F7A77" w14:textId="77777777" w:rsidR="00057F0C" w:rsidRDefault="00057F0C" w:rsidP="00716D5D">
      <w:pPr>
        <w:pStyle w:val="0reference"/>
      </w:pPr>
      <w:proofErr w:type="spellStart"/>
      <w:r>
        <w:t>Gulhan</w:t>
      </w:r>
      <w:proofErr w:type="spellEnd"/>
      <w:r>
        <w:t xml:space="preserve">, D.C., Lee, J.J.K., </w:t>
      </w:r>
      <w:proofErr w:type="spellStart"/>
      <w:r>
        <w:t>Melloni</w:t>
      </w:r>
      <w:proofErr w:type="spellEnd"/>
      <w:r>
        <w:t>, G.E., Cortés-</w:t>
      </w:r>
      <w:proofErr w:type="spellStart"/>
      <w:r>
        <w:t>Ciriano</w:t>
      </w:r>
      <w:proofErr w:type="spellEnd"/>
      <w:r>
        <w:t>, I. and Park, P.J., 2019. Detecting the mutational signature of homologous recombination deficiency in clinical samples (p. 1). Nature Publishing Group.</w:t>
      </w:r>
    </w:p>
    <w:p w14:paraId="72BA16CC" w14:textId="77777777" w:rsidR="00057F0C" w:rsidRDefault="00057F0C" w:rsidP="00716D5D">
      <w:pPr>
        <w:pStyle w:val="0reference"/>
      </w:pPr>
      <w:r>
        <w:t xml:space="preserve">Davies, H. et al. </w:t>
      </w:r>
      <w:proofErr w:type="spellStart"/>
      <w:r>
        <w:t>HRDetect</w:t>
      </w:r>
      <w:proofErr w:type="spellEnd"/>
      <w:r>
        <w:t xml:space="preserve"> is a predictor of BRCA1 and BRCA2 deficiency based on mutational signatures. Nat. Med. 23, 517–525 (2017).</w:t>
      </w:r>
    </w:p>
    <w:p w14:paraId="68097BC7" w14:textId="77777777" w:rsidR="00057F0C" w:rsidRDefault="00057F0C" w:rsidP="00716D5D">
      <w:pPr>
        <w:pStyle w:val="0reference"/>
      </w:pPr>
      <w:proofErr w:type="spellStart"/>
      <w:r>
        <w:lastRenderedPageBreak/>
        <w:t>Polak</w:t>
      </w:r>
      <w:proofErr w:type="spellEnd"/>
      <w:r>
        <w:t>, P. et al. A mutational signature reveals alterations underlying deficient homologous recombination repair in breast cancer. Nat. Genet. 49, 1476–1486 (2017).</w:t>
      </w:r>
    </w:p>
    <w:p w14:paraId="4EDE823E" w14:textId="77777777" w:rsidR="00057F0C" w:rsidRDefault="00057F0C" w:rsidP="00716D5D">
      <w:pPr>
        <w:pStyle w:val="0reference"/>
      </w:pPr>
      <w:r>
        <w:t>Nik-Zainal, S. et al. Landscape of somatic mutations in 560 breast cancer whole-genome sequences. Nature 534, 47–54 (2016).</w:t>
      </w:r>
    </w:p>
    <w:p w14:paraId="49377584" w14:textId="77777777" w:rsidR="00057F0C" w:rsidRDefault="00057F0C" w:rsidP="00716D5D">
      <w:pPr>
        <w:pStyle w:val="0reference"/>
      </w:pPr>
      <w:r>
        <w:t xml:space="preserve">Hoppe, M.M., Sundar, R., Tan, D.S. and </w:t>
      </w:r>
      <w:proofErr w:type="spellStart"/>
      <w:r>
        <w:t>Jeyasekharan</w:t>
      </w:r>
      <w:proofErr w:type="spellEnd"/>
      <w:r>
        <w:t>, A.D., 2018. Biomarkers for homologous recombination deficiency in cancer. JNCI: Journal of the National Cancer Institute, 110(7), pp.704-713.</w:t>
      </w:r>
    </w:p>
    <w:p w14:paraId="6FA41F7E" w14:textId="77777777" w:rsidR="00057F0C" w:rsidRDefault="00057F0C" w:rsidP="00716D5D">
      <w:pPr>
        <w:pStyle w:val="0reference"/>
      </w:pPr>
      <w:proofErr w:type="spellStart"/>
      <w:r>
        <w:t>Blokzijl</w:t>
      </w:r>
      <w:proofErr w:type="spellEnd"/>
      <w:r>
        <w:t xml:space="preserve">, F., Janssen, R., van </w:t>
      </w:r>
      <w:proofErr w:type="spellStart"/>
      <w:r>
        <w:t>Boxtel</w:t>
      </w:r>
      <w:proofErr w:type="spellEnd"/>
      <w:r>
        <w:t xml:space="preserve">, R. &amp; </w:t>
      </w:r>
      <w:proofErr w:type="spellStart"/>
      <w:r>
        <w:t>Cuppen</w:t>
      </w:r>
      <w:proofErr w:type="spellEnd"/>
      <w:r>
        <w:t xml:space="preserve">, E. </w:t>
      </w:r>
      <w:proofErr w:type="spellStart"/>
      <w:r>
        <w:t>MutationalPatterns</w:t>
      </w:r>
      <w:proofErr w:type="spellEnd"/>
      <w:r>
        <w:t>: comprehensive genome-wide analysis of mutational processes. Genome Med.10, 33 (2018).</w:t>
      </w:r>
    </w:p>
    <w:p w14:paraId="06591D1D" w14:textId="77777777" w:rsidR="00057F0C" w:rsidRDefault="00057F0C" w:rsidP="00716D5D">
      <w:pPr>
        <w:pStyle w:val="0reference"/>
      </w:pPr>
      <w:r>
        <w:t xml:space="preserve">Gehring, J. S., Fischer, B., Lawrence, M. &amp; Huber, W. </w:t>
      </w:r>
      <w:proofErr w:type="spellStart"/>
      <w:r>
        <w:t>SomaticSignatures</w:t>
      </w:r>
      <w:proofErr w:type="spellEnd"/>
      <w:r>
        <w:t>: inferring mutational signatures from single-nucleotide variants. Bioinformatics 31, 3673–3675 (2015).</w:t>
      </w:r>
    </w:p>
    <w:p w14:paraId="23BE8A39" w14:textId="77777777" w:rsidR="00057F0C" w:rsidRDefault="00057F0C" w:rsidP="00716D5D">
      <w:pPr>
        <w:pStyle w:val="0reference"/>
      </w:pPr>
      <w:proofErr w:type="spellStart"/>
      <w:r>
        <w:t>Alexandrov</w:t>
      </w:r>
      <w:proofErr w:type="spellEnd"/>
      <w:r>
        <w:t xml:space="preserve">, L., Kim, J., </w:t>
      </w:r>
      <w:proofErr w:type="spellStart"/>
      <w:r>
        <w:t>Haradhvala</w:t>
      </w:r>
      <w:proofErr w:type="spellEnd"/>
      <w:r>
        <w:t xml:space="preserve">, N.J., Huang, M.N., Ng, A.W., Boot, A., Covington, K.R., </w:t>
      </w:r>
      <w:proofErr w:type="spellStart"/>
      <w:r>
        <w:t>Gordenin</w:t>
      </w:r>
      <w:proofErr w:type="spellEnd"/>
      <w:r>
        <w:t>, D.A., Bergstrom, E., Lopez-</w:t>
      </w:r>
      <w:proofErr w:type="spellStart"/>
      <w:r>
        <w:t>Bigas</w:t>
      </w:r>
      <w:proofErr w:type="spellEnd"/>
      <w:r>
        <w:t xml:space="preserve">, N. and </w:t>
      </w:r>
      <w:proofErr w:type="spellStart"/>
      <w:r>
        <w:t>Klimczak</w:t>
      </w:r>
      <w:proofErr w:type="spellEnd"/>
      <w:r>
        <w:t xml:space="preserve">, L.J., 2018. The repertoire of mutational signatures in human cancer. </w:t>
      </w:r>
      <w:proofErr w:type="spellStart"/>
      <w:r>
        <w:t>BioRxiv</w:t>
      </w:r>
      <w:proofErr w:type="spellEnd"/>
      <w:r>
        <w:t>, p.322859.</w:t>
      </w:r>
    </w:p>
    <w:p w14:paraId="5FC97862" w14:textId="77777777" w:rsidR="00057F0C" w:rsidRDefault="00057F0C" w:rsidP="00716D5D">
      <w:pPr>
        <w:pStyle w:val="0reference"/>
      </w:pPr>
      <w:r>
        <w:t>Kaufman, B., Shapira-</w:t>
      </w:r>
      <w:proofErr w:type="spellStart"/>
      <w:r>
        <w:t>Frommer</w:t>
      </w:r>
      <w:proofErr w:type="spellEnd"/>
      <w:r>
        <w:t xml:space="preserve">, R., </w:t>
      </w:r>
      <w:proofErr w:type="spellStart"/>
      <w:r>
        <w:t>Schmutzler</w:t>
      </w:r>
      <w:proofErr w:type="spellEnd"/>
      <w:r>
        <w:t xml:space="preserve">, R.K., </w:t>
      </w:r>
      <w:proofErr w:type="spellStart"/>
      <w:r>
        <w:t>Audeh</w:t>
      </w:r>
      <w:proofErr w:type="spellEnd"/>
      <w:r>
        <w:t xml:space="preserve">, M.W., Friedlander, M., </w:t>
      </w:r>
      <w:proofErr w:type="spellStart"/>
      <w:r>
        <w:t>Balmaña</w:t>
      </w:r>
      <w:proofErr w:type="spellEnd"/>
      <w:r>
        <w:t xml:space="preserve">, J., Mitchell, G., Fried, G., Stemmer, S.M., Hubert, A. and Rosengarten, O., 2015. </w:t>
      </w:r>
      <w:proofErr w:type="spellStart"/>
      <w:r>
        <w:t>Olaparib</w:t>
      </w:r>
      <w:proofErr w:type="spellEnd"/>
      <w:r>
        <w:t xml:space="preserve"> monotherapy in patients with advanced cancer and a germline BRCA1/2 mutation. Journal of clinical oncology: official journal of the American Society of Clinical Oncology</w:t>
      </w:r>
    </w:p>
    <w:p w14:paraId="4F1C32F9" w14:textId="77777777" w:rsidR="00057F0C" w:rsidRDefault="00057F0C" w:rsidP="00716D5D">
      <w:pPr>
        <w:pStyle w:val="0reference"/>
      </w:pPr>
      <w:r>
        <w:t xml:space="preserve">Ledermann, J., Harter, P., Gourley, C., Friedlander, M., </w:t>
      </w:r>
      <w:proofErr w:type="spellStart"/>
      <w:r>
        <w:t>Vergote</w:t>
      </w:r>
      <w:proofErr w:type="spellEnd"/>
      <w:r>
        <w:t>, I., Rustin, G., Scott, C.L., Meier, W., Shapira-</w:t>
      </w:r>
      <w:proofErr w:type="spellStart"/>
      <w:r>
        <w:t>Frommer</w:t>
      </w:r>
      <w:proofErr w:type="spellEnd"/>
      <w:r>
        <w:t xml:space="preserve">, R., </w:t>
      </w:r>
      <w:proofErr w:type="spellStart"/>
      <w:r>
        <w:t>Safra</w:t>
      </w:r>
      <w:proofErr w:type="spellEnd"/>
      <w:r>
        <w:t xml:space="preserve">, T. and </w:t>
      </w:r>
      <w:proofErr w:type="spellStart"/>
      <w:r>
        <w:t>Matei</w:t>
      </w:r>
      <w:proofErr w:type="spellEnd"/>
      <w:r>
        <w:t xml:space="preserve">, D., 2014. </w:t>
      </w:r>
      <w:proofErr w:type="spellStart"/>
      <w:r>
        <w:t>Olaparib</w:t>
      </w:r>
      <w:proofErr w:type="spellEnd"/>
      <w:r>
        <w:t xml:space="preserve"> maintenance therapy in patients with platinum-sensitive relapsed serous ovarian cancer: a preplanned retrospective analysis of outcomes by BRCA status in a </w:t>
      </w:r>
      <w:proofErr w:type="spellStart"/>
      <w:r>
        <w:t>randomised</w:t>
      </w:r>
      <w:proofErr w:type="spellEnd"/>
      <w:r>
        <w:t xml:space="preserve"> phase 2 trial. T</w:t>
      </w:r>
    </w:p>
    <w:p w14:paraId="07DC5F77" w14:textId="77777777" w:rsidR="00057F0C" w:rsidRDefault="00057F0C" w:rsidP="00716D5D">
      <w:pPr>
        <w:pStyle w:val="0reference"/>
      </w:pPr>
      <w:proofErr w:type="spellStart"/>
      <w:r>
        <w:t>Pujade-Lauraine</w:t>
      </w:r>
      <w:proofErr w:type="spellEnd"/>
      <w:r>
        <w:t xml:space="preserve">, E., Ledermann, J.A., </w:t>
      </w:r>
      <w:proofErr w:type="spellStart"/>
      <w:r>
        <w:t>Selle</w:t>
      </w:r>
      <w:proofErr w:type="spellEnd"/>
      <w:r>
        <w:t xml:space="preserve">, F., </w:t>
      </w:r>
      <w:proofErr w:type="spellStart"/>
      <w:r>
        <w:t>Gebski</w:t>
      </w:r>
      <w:proofErr w:type="spellEnd"/>
      <w:r>
        <w:t xml:space="preserve">, V., Penson, R.T., </w:t>
      </w:r>
      <w:proofErr w:type="spellStart"/>
      <w:r>
        <w:t>Oza</w:t>
      </w:r>
      <w:proofErr w:type="spellEnd"/>
      <w:r>
        <w:t xml:space="preserve">, A.M., </w:t>
      </w:r>
      <w:proofErr w:type="spellStart"/>
      <w:r>
        <w:t>Korach</w:t>
      </w:r>
      <w:proofErr w:type="spellEnd"/>
      <w:r>
        <w:t xml:space="preserve">, J., </w:t>
      </w:r>
      <w:proofErr w:type="spellStart"/>
      <w:r>
        <w:t>Huzarski</w:t>
      </w:r>
      <w:proofErr w:type="spellEnd"/>
      <w:r>
        <w:t xml:space="preserve">, T., Poveda, A., </w:t>
      </w:r>
      <w:proofErr w:type="spellStart"/>
      <w:r>
        <w:t>Pignata</w:t>
      </w:r>
      <w:proofErr w:type="spellEnd"/>
      <w:r>
        <w:t xml:space="preserve">, S. and Friedlander, M., 2017. </w:t>
      </w:r>
      <w:proofErr w:type="spellStart"/>
      <w:r>
        <w:t>Olaparib</w:t>
      </w:r>
      <w:proofErr w:type="spellEnd"/>
      <w:r>
        <w:t xml:space="preserve"> tablets as maintenance therapy in patients with platinum-sensitive, relapsed ovarian cancer and a BRCA1/2 mutation (SOLO2/ENGOT-Ov21): a double-blind, </w:t>
      </w:r>
      <w:proofErr w:type="spellStart"/>
      <w:r>
        <w:t>randomised</w:t>
      </w:r>
      <w:proofErr w:type="spellEnd"/>
      <w:r>
        <w:t>, placebo-control</w:t>
      </w:r>
    </w:p>
    <w:p w14:paraId="2C470603" w14:textId="77777777" w:rsidR="00057F0C" w:rsidRDefault="00057F0C" w:rsidP="00716D5D">
      <w:pPr>
        <w:pStyle w:val="0reference"/>
      </w:pPr>
      <w:r>
        <w:t xml:space="preserve">Mirza, M.R., Monk, B.J., </w:t>
      </w:r>
      <w:proofErr w:type="spellStart"/>
      <w:r>
        <w:t>Herrstedt</w:t>
      </w:r>
      <w:proofErr w:type="spellEnd"/>
      <w:r>
        <w:t xml:space="preserve">, J., </w:t>
      </w:r>
      <w:proofErr w:type="spellStart"/>
      <w:r>
        <w:t>Oza</w:t>
      </w:r>
      <w:proofErr w:type="spellEnd"/>
      <w:r>
        <w:t xml:space="preserve">, A.M., </w:t>
      </w:r>
      <w:proofErr w:type="spellStart"/>
      <w:r>
        <w:t>Mahner</w:t>
      </w:r>
      <w:proofErr w:type="spellEnd"/>
      <w:r>
        <w:t xml:space="preserve">, S., Redondo, A., </w:t>
      </w:r>
      <w:proofErr w:type="spellStart"/>
      <w:r>
        <w:t>Fabbro</w:t>
      </w:r>
      <w:proofErr w:type="spellEnd"/>
      <w:r>
        <w:t xml:space="preserve">, M., Ledermann, J.A., </w:t>
      </w:r>
      <w:proofErr w:type="spellStart"/>
      <w:r>
        <w:t>Lorusso</w:t>
      </w:r>
      <w:proofErr w:type="spellEnd"/>
      <w:r>
        <w:t xml:space="preserve">, D., </w:t>
      </w:r>
      <w:proofErr w:type="spellStart"/>
      <w:r>
        <w:t>Vergote</w:t>
      </w:r>
      <w:proofErr w:type="spellEnd"/>
      <w:r>
        <w:t>, I. and Ben-Baruch, N.E., 2016. Niraparib maintenance therapy in platinum-sensitive, recurrent ovarian cancer. New England Journal of Medicine, 375(22), pp.2154-2164.</w:t>
      </w:r>
    </w:p>
    <w:p w14:paraId="3BBE7A41" w14:textId="77777777" w:rsidR="00057F0C" w:rsidRDefault="00057F0C" w:rsidP="00716D5D">
      <w:pPr>
        <w:pStyle w:val="0reference"/>
      </w:pPr>
      <w:proofErr w:type="spellStart"/>
      <w:r>
        <w:t>Kristeleit</w:t>
      </w:r>
      <w:proofErr w:type="spellEnd"/>
      <w:r>
        <w:t xml:space="preserve">, R., Shapiro, G.I., Burris, H.A., </w:t>
      </w:r>
      <w:proofErr w:type="spellStart"/>
      <w:r>
        <w:t>Oza</w:t>
      </w:r>
      <w:proofErr w:type="spellEnd"/>
      <w:r>
        <w:t xml:space="preserve">, A.M., </w:t>
      </w:r>
      <w:proofErr w:type="spellStart"/>
      <w:r>
        <w:t>LoRusso</w:t>
      </w:r>
      <w:proofErr w:type="spellEnd"/>
      <w:r>
        <w:t xml:space="preserve">, P., Patel, M.R., </w:t>
      </w:r>
      <w:proofErr w:type="spellStart"/>
      <w:r>
        <w:t>Domchek</w:t>
      </w:r>
      <w:proofErr w:type="spellEnd"/>
      <w:r>
        <w:t xml:space="preserve">, S.M., </w:t>
      </w:r>
      <w:proofErr w:type="spellStart"/>
      <w:r>
        <w:t>Balmaña</w:t>
      </w:r>
      <w:proofErr w:type="spellEnd"/>
      <w:r>
        <w:t xml:space="preserve">, J., Drew, Y., Chen, L.M. and </w:t>
      </w:r>
      <w:proofErr w:type="spellStart"/>
      <w:r>
        <w:t>Safra</w:t>
      </w:r>
      <w:proofErr w:type="spellEnd"/>
      <w:r>
        <w:t>, T., 2017. A phase I–II study of the oral PARP inhibitor rucaparib in patients with germline BRCA1/2-mutated ovarian carcinoma or other solid tumors. Clinical Cancer Research, 23(15), pp.4095-4106.</w:t>
      </w:r>
    </w:p>
    <w:p w14:paraId="1564EF4D" w14:textId="77777777" w:rsidR="00057F0C" w:rsidRDefault="00057F0C" w:rsidP="00716D5D">
      <w:pPr>
        <w:pStyle w:val="0reference"/>
      </w:pPr>
      <w:r>
        <w:t xml:space="preserve">Swisher, E.M., Lin, K.K., </w:t>
      </w:r>
      <w:proofErr w:type="spellStart"/>
      <w:r>
        <w:t>Oza</w:t>
      </w:r>
      <w:proofErr w:type="spellEnd"/>
      <w:r>
        <w:t xml:space="preserve">, A.M., Scott, C.L., Giordano, H., Sun, J., </w:t>
      </w:r>
      <w:proofErr w:type="spellStart"/>
      <w:r>
        <w:t>Konecny</w:t>
      </w:r>
      <w:proofErr w:type="spellEnd"/>
      <w:r>
        <w:t xml:space="preserve">, G.E., Coleman, R.L., Tinker, A.V., O'Malley, D.M. and </w:t>
      </w:r>
      <w:proofErr w:type="spellStart"/>
      <w:r>
        <w:t>Kristeleit</w:t>
      </w:r>
      <w:proofErr w:type="spellEnd"/>
      <w:r>
        <w:t xml:space="preserve">, R.S., 2017. Rucaparib in relapsed, platinum-sensitive high-grade ovarian carcinoma (ARIEL2 Part 1): an international, </w:t>
      </w:r>
      <w:proofErr w:type="spellStart"/>
      <w:r>
        <w:t>multicentre</w:t>
      </w:r>
      <w:proofErr w:type="spellEnd"/>
      <w:r>
        <w:t>, open-label, phase 2 trial. The lancet oncology, 18(1), pp.75-87.</w:t>
      </w:r>
    </w:p>
    <w:p w14:paraId="5C3D0EB9" w14:textId="77777777" w:rsidR="00057F0C" w:rsidRDefault="00057F0C" w:rsidP="00716D5D">
      <w:pPr>
        <w:pStyle w:val="0reference"/>
      </w:pPr>
      <w:r>
        <w:t xml:space="preserve">Coleman, R.L., </w:t>
      </w:r>
      <w:proofErr w:type="spellStart"/>
      <w:r>
        <w:t>Oza</w:t>
      </w:r>
      <w:proofErr w:type="spellEnd"/>
      <w:r>
        <w:t xml:space="preserve">, A.M., </w:t>
      </w:r>
      <w:proofErr w:type="spellStart"/>
      <w:r>
        <w:t>Lorusso</w:t>
      </w:r>
      <w:proofErr w:type="spellEnd"/>
      <w:r>
        <w:t xml:space="preserve">, D., </w:t>
      </w:r>
      <w:proofErr w:type="spellStart"/>
      <w:r>
        <w:t>Aghajanian</w:t>
      </w:r>
      <w:proofErr w:type="spellEnd"/>
      <w:r>
        <w:t xml:space="preserve">, C., </w:t>
      </w:r>
      <w:proofErr w:type="spellStart"/>
      <w:r>
        <w:t>Oaknin</w:t>
      </w:r>
      <w:proofErr w:type="spellEnd"/>
      <w:r>
        <w:t xml:space="preserve">, A., Dean, A., Colombo, N., </w:t>
      </w:r>
      <w:proofErr w:type="spellStart"/>
      <w:r>
        <w:t>Weberpals</w:t>
      </w:r>
      <w:proofErr w:type="spellEnd"/>
      <w:r>
        <w:t xml:space="preserve">, J.I., Clamp, A., </w:t>
      </w:r>
      <w:proofErr w:type="spellStart"/>
      <w:r>
        <w:t>Scambia</w:t>
      </w:r>
      <w:proofErr w:type="spellEnd"/>
      <w:r>
        <w:t xml:space="preserve">, G. and Leary, A., 2017. Rucaparib maintenance treatment for recurrent ovarian carcinoma after response to platinum therapy (ARIEL3): a </w:t>
      </w:r>
      <w:proofErr w:type="spellStart"/>
      <w:r>
        <w:t>randomised</w:t>
      </w:r>
      <w:proofErr w:type="spellEnd"/>
      <w:r>
        <w:t>, double-blind, placebo-controlled, phase 3 trial. The Lancet, 390(10106), pp.</w:t>
      </w:r>
    </w:p>
    <w:p w14:paraId="2D6AC06D" w14:textId="77777777" w:rsidR="00057F0C" w:rsidRDefault="00057F0C" w:rsidP="00716D5D">
      <w:pPr>
        <w:pStyle w:val="0reference"/>
      </w:pPr>
      <w:r>
        <w:t xml:space="preserve">Robson, M., </w:t>
      </w:r>
      <w:proofErr w:type="spellStart"/>
      <w:r>
        <w:t>Im</w:t>
      </w:r>
      <w:proofErr w:type="spellEnd"/>
      <w:r>
        <w:t xml:space="preserve">, S.A., </w:t>
      </w:r>
      <w:proofErr w:type="spellStart"/>
      <w:r>
        <w:t>Senkus</w:t>
      </w:r>
      <w:proofErr w:type="spellEnd"/>
      <w:r>
        <w:t xml:space="preserve">, E., Xu, B., </w:t>
      </w:r>
      <w:proofErr w:type="spellStart"/>
      <w:r>
        <w:t>Domchek</w:t>
      </w:r>
      <w:proofErr w:type="spellEnd"/>
      <w:r>
        <w:t xml:space="preserve">, S.M., Masuda, N., </w:t>
      </w:r>
      <w:proofErr w:type="spellStart"/>
      <w:r>
        <w:t>Delaloge</w:t>
      </w:r>
      <w:proofErr w:type="spellEnd"/>
      <w:r>
        <w:t xml:space="preserve">, S., Li, W., Tung, N., Armstrong, A. and Wu, W., 2017. </w:t>
      </w:r>
      <w:proofErr w:type="spellStart"/>
      <w:r>
        <w:t>Olaparib</w:t>
      </w:r>
      <w:proofErr w:type="spellEnd"/>
      <w:r>
        <w:t xml:space="preserve"> for metastatic breast cancer in patients with a germline BRCA mutation. New England Journal of Medicine, 377(6), pp.523-533.</w:t>
      </w:r>
    </w:p>
    <w:p w14:paraId="7364DAAE" w14:textId="77777777" w:rsidR="00057F0C" w:rsidRDefault="00057F0C" w:rsidP="00716D5D">
      <w:pPr>
        <w:pStyle w:val="0reference"/>
      </w:pPr>
      <w:proofErr w:type="spellStart"/>
      <w:r>
        <w:t>Gelmon</w:t>
      </w:r>
      <w:proofErr w:type="spellEnd"/>
      <w:r>
        <w:t xml:space="preserve">, K.A., </w:t>
      </w:r>
      <w:proofErr w:type="spellStart"/>
      <w:r>
        <w:t>Tischkowitz</w:t>
      </w:r>
      <w:proofErr w:type="spellEnd"/>
      <w:r>
        <w:t xml:space="preserve">, M., Mackay, H., </w:t>
      </w:r>
      <w:proofErr w:type="spellStart"/>
      <w:r>
        <w:t>Swenerton</w:t>
      </w:r>
      <w:proofErr w:type="spellEnd"/>
      <w:r>
        <w:t xml:space="preserve">, K., </w:t>
      </w:r>
      <w:proofErr w:type="spellStart"/>
      <w:r>
        <w:t>Robidoux</w:t>
      </w:r>
      <w:proofErr w:type="spellEnd"/>
      <w:r>
        <w:t xml:space="preserve">, A., Tonkin, K., </w:t>
      </w:r>
      <w:proofErr w:type="spellStart"/>
      <w:r>
        <w:t>Hirte</w:t>
      </w:r>
      <w:proofErr w:type="spellEnd"/>
      <w:r>
        <w:t xml:space="preserve">, H., Huntsman, D., Clemons, M., </w:t>
      </w:r>
      <w:proofErr w:type="spellStart"/>
      <w:r>
        <w:t>Gilks</w:t>
      </w:r>
      <w:proofErr w:type="spellEnd"/>
      <w:r>
        <w:t xml:space="preserve">, B. and </w:t>
      </w:r>
      <w:proofErr w:type="spellStart"/>
      <w:r>
        <w:t>Yerushalmi</w:t>
      </w:r>
      <w:proofErr w:type="spellEnd"/>
      <w:r>
        <w:t xml:space="preserve">, R., 2011. </w:t>
      </w:r>
      <w:proofErr w:type="spellStart"/>
      <w:r>
        <w:t>Olaparib</w:t>
      </w:r>
      <w:proofErr w:type="spellEnd"/>
      <w:r>
        <w:t xml:space="preserve"> in patients with recurrent high-grade serous or poorly differentiated ovarian carcinoma or triple-negative breast cancer: a phase 2, </w:t>
      </w:r>
      <w:proofErr w:type="spellStart"/>
      <w:r>
        <w:t>multicentre</w:t>
      </w:r>
      <w:proofErr w:type="spellEnd"/>
      <w:r>
        <w:t>, open-label, non-</w:t>
      </w:r>
      <w:proofErr w:type="spellStart"/>
      <w:r>
        <w:t>randomised</w:t>
      </w:r>
      <w:proofErr w:type="spellEnd"/>
      <w:r>
        <w:t xml:space="preserve"> study. The</w:t>
      </w:r>
    </w:p>
    <w:p w14:paraId="7F26312E" w14:textId="3C7090E3" w:rsidR="00057F0C" w:rsidRDefault="00057F0C" w:rsidP="00716D5D">
      <w:pPr>
        <w:pStyle w:val="0reference"/>
      </w:pPr>
      <w:r>
        <w:t xml:space="preserve">Tutt, A., Robson, M., Garber, J.E., </w:t>
      </w:r>
      <w:proofErr w:type="spellStart"/>
      <w:r>
        <w:t>Domchek</w:t>
      </w:r>
      <w:proofErr w:type="spellEnd"/>
      <w:r>
        <w:t xml:space="preserve">, S.M., </w:t>
      </w:r>
      <w:proofErr w:type="spellStart"/>
      <w:r>
        <w:t>Audeh</w:t>
      </w:r>
      <w:proofErr w:type="spellEnd"/>
      <w:r>
        <w:t xml:space="preserve">, M.W., Weitzel, J.N., Friedlander, M., Arun, B., Loman, N., </w:t>
      </w:r>
      <w:proofErr w:type="spellStart"/>
      <w:r>
        <w:t>Schmutzler</w:t>
      </w:r>
      <w:proofErr w:type="spellEnd"/>
      <w:r>
        <w:t xml:space="preserve">, R.K. and </w:t>
      </w:r>
      <w:proofErr w:type="spellStart"/>
      <w:r>
        <w:t>Wardley</w:t>
      </w:r>
      <w:proofErr w:type="spellEnd"/>
      <w:r>
        <w:t xml:space="preserve">, A., 2010. Oral poly (ADP-ribose) polymerase inhibitor </w:t>
      </w:r>
      <w:proofErr w:type="spellStart"/>
      <w:r>
        <w:t>olaparib</w:t>
      </w:r>
      <w:proofErr w:type="spellEnd"/>
      <w:r>
        <w:t xml:space="preserve"> in patients with BRCA1 or BRCA2 mutations and advanced breast cancer: a proof-of-concept trial. The Lancet, 376(9737), pp.235-244.</w:t>
      </w:r>
    </w:p>
    <w:p w14:paraId="7739A82B" w14:textId="43BAFF0D" w:rsidR="00057F0C" w:rsidRDefault="00057F0C" w:rsidP="00716D5D">
      <w:pPr>
        <w:pStyle w:val="0reference"/>
      </w:pPr>
      <w:proofErr w:type="spellStart"/>
      <w:r>
        <w:lastRenderedPageBreak/>
        <w:t>Ceccaldi</w:t>
      </w:r>
      <w:proofErr w:type="spellEnd"/>
      <w:r>
        <w:t xml:space="preserve">, R., O'Connor, K.W., </w:t>
      </w:r>
      <w:proofErr w:type="spellStart"/>
      <w:r>
        <w:t>Mouw</w:t>
      </w:r>
      <w:proofErr w:type="spellEnd"/>
      <w:r>
        <w:t xml:space="preserve">, K.W., Li, A.Y., </w:t>
      </w:r>
      <w:proofErr w:type="spellStart"/>
      <w:r>
        <w:t>Matulonis</w:t>
      </w:r>
      <w:proofErr w:type="spellEnd"/>
      <w:r>
        <w:t xml:space="preserve">, U.A., </w:t>
      </w:r>
      <w:proofErr w:type="spellStart"/>
      <w:r>
        <w:t>D'Andrea</w:t>
      </w:r>
      <w:proofErr w:type="spellEnd"/>
      <w:r>
        <w:t xml:space="preserve">, A.D. and </w:t>
      </w:r>
      <w:proofErr w:type="spellStart"/>
      <w:r>
        <w:t>Konstantinopoulos</w:t>
      </w:r>
      <w:proofErr w:type="spellEnd"/>
      <w:r>
        <w:t>, P.A., 2015. A unique subset of epithelial ovarian cancers with platinum sensitivity and PARP inhibitor resistance. Cancer research, 75(4), pp.628-634.</w:t>
      </w:r>
    </w:p>
    <w:p w14:paraId="79F58090" w14:textId="78A454F3" w:rsidR="00057F0C" w:rsidRDefault="00057F0C" w:rsidP="00716D5D">
      <w:pPr>
        <w:pStyle w:val="0reference"/>
      </w:pPr>
      <w:proofErr w:type="spellStart"/>
      <w:r>
        <w:t>Michels</w:t>
      </w:r>
      <w:proofErr w:type="spellEnd"/>
      <w:r>
        <w:t xml:space="preserve">, J., Vitale, I., </w:t>
      </w:r>
      <w:proofErr w:type="spellStart"/>
      <w:r>
        <w:t>Saparbaev</w:t>
      </w:r>
      <w:proofErr w:type="spellEnd"/>
      <w:r>
        <w:t xml:space="preserve">, M., </w:t>
      </w:r>
      <w:proofErr w:type="spellStart"/>
      <w:r>
        <w:t>Castedo</w:t>
      </w:r>
      <w:proofErr w:type="spellEnd"/>
      <w:r>
        <w:t>, M. and Kroemer, G., 2014. Predictive biomarkers for cancer therapy with PARP inhibitors. Oncogene, 33(30), p.3894.</w:t>
      </w:r>
    </w:p>
    <w:p w14:paraId="5A5219C2" w14:textId="56569B50" w:rsidR="00057F0C" w:rsidRDefault="00057F0C" w:rsidP="00716D5D">
      <w:pPr>
        <w:pStyle w:val="0reference"/>
      </w:pPr>
      <w:r>
        <w:t xml:space="preserve">McCabe, N., Turner, N.C., Lord, C.J., </w:t>
      </w:r>
      <w:proofErr w:type="spellStart"/>
      <w:r>
        <w:t>Kluzek</w:t>
      </w:r>
      <w:proofErr w:type="spellEnd"/>
      <w:r>
        <w:t xml:space="preserve">, K., </w:t>
      </w:r>
      <w:proofErr w:type="spellStart"/>
      <w:r>
        <w:t>Białkowska</w:t>
      </w:r>
      <w:proofErr w:type="spellEnd"/>
      <w:r>
        <w:t xml:space="preserve">, A., Swift, S., </w:t>
      </w:r>
      <w:proofErr w:type="spellStart"/>
      <w:r>
        <w:t>Giavara</w:t>
      </w:r>
      <w:proofErr w:type="spellEnd"/>
      <w:r>
        <w:t xml:space="preserve">, S., O'Connor, M.J., Tutt, A.N., </w:t>
      </w:r>
      <w:proofErr w:type="spellStart"/>
      <w:r>
        <w:t>Zdzienicka</w:t>
      </w:r>
      <w:proofErr w:type="spellEnd"/>
      <w:r>
        <w:t>, M.Z. and Smith, G.C., 2006. Deficiency in the repair of DNA damage by homologous recombination and sensitivity to poly (ADP-ribose) polymerase inhibition. Cancer research, 66(16), pp.8109-8115.</w:t>
      </w:r>
    </w:p>
    <w:p w14:paraId="1AB314A6" w14:textId="67CB98CC" w:rsidR="00057F0C" w:rsidRDefault="00057F0C" w:rsidP="00716D5D">
      <w:pPr>
        <w:pStyle w:val="0reference"/>
      </w:pPr>
      <w:r>
        <w:t xml:space="preserve">Mateo, J., </w:t>
      </w:r>
      <w:proofErr w:type="spellStart"/>
      <w:r>
        <w:t>Carreira</w:t>
      </w:r>
      <w:proofErr w:type="spellEnd"/>
      <w:r>
        <w:t xml:space="preserve">, S., Sandhu, S., Miranda, S., Mossop, H., Perez-Lopez, R., Nava Rodrigues, D., Robinson, D., </w:t>
      </w:r>
      <w:proofErr w:type="spellStart"/>
      <w:r>
        <w:t>Omlin</w:t>
      </w:r>
      <w:proofErr w:type="spellEnd"/>
      <w:r>
        <w:t xml:space="preserve">, A., </w:t>
      </w:r>
      <w:proofErr w:type="spellStart"/>
      <w:r>
        <w:t>Tunariu</w:t>
      </w:r>
      <w:proofErr w:type="spellEnd"/>
      <w:r>
        <w:t xml:space="preserve">, N. and Boysen, G., 2015. DNA-repair defects and </w:t>
      </w:r>
      <w:proofErr w:type="spellStart"/>
      <w:r>
        <w:t>olaparib</w:t>
      </w:r>
      <w:proofErr w:type="spellEnd"/>
      <w:r>
        <w:t xml:space="preserve"> in metastatic prostate cancer. New England Journal of Medicine, 373(18), pp.1697-1708.</w:t>
      </w:r>
    </w:p>
    <w:p w14:paraId="632BF0BB" w14:textId="610C0EC1" w:rsidR="00057F0C" w:rsidRDefault="00057F0C" w:rsidP="00716D5D">
      <w:pPr>
        <w:pStyle w:val="0reference"/>
      </w:pPr>
      <w:proofErr w:type="spellStart"/>
      <w:r>
        <w:t>Lheureux</w:t>
      </w:r>
      <w:proofErr w:type="spellEnd"/>
      <w:r>
        <w:t xml:space="preserve">, S., Lai, Z., Dougherty, B.A., </w:t>
      </w:r>
      <w:proofErr w:type="spellStart"/>
      <w:r>
        <w:t>Runswick</w:t>
      </w:r>
      <w:proofErr w:type="spellEnd"/>
      <w:r>
        <w:t xml:space="preserve">, S., Hodgson, D.R., Timms, K.M., </w:t>
      </w:r>
      <w:proofErr w:type="spellStart"/>
      <w:r>
        <w:t>Lanchbury</w:t>
      </w:r>
      <w:proofErr w:type="spellEnd"/>
      <w:r>
        <w:t xml:space="preserve">, J.S., Kaye, S., Gourley, C., </w:t>
      </w:r>
      <w:proofErr w:type="spellStart"/>
      <w:r>
        <w:t>Bowtell</w:t>
      </w:r>
      <w:proofErr w:type="spellEnd"/>
      <w:r>
        <w:t xml:space="preserve">, D. and Kohn, E.C., 2017. Long-term responders on </w:t>
      </w:r>
      <w:proofErr w:type="spellStart"/>
      <w:r>
        <w:t>olaparib</w:t>
      </w:r>
      <w:proofErr w:type="spellEnd"/>
      <w:r>
        <w:t xml:space="preserve"> maintenance in high-grade serous ovarian cancer: clinical and molecular characterization. Clinical Cancer Research, 23(15), pp.4086-4094.</w:t>
      </w:r>
    </w:p>
    <w:p w14:paraId="27BF1A44" w14:textId="4FD51C1F" w:rsidR="00057F0C" w:rsidRDefault="00057F0C" w:rsidP="00716D5D">
      <w:pPr>
        <w:pStyle w:val="0reference"/>
      </w:pPr>
      <w:r>
        <w:t xml:space="preserve">Pennington, K.P., Walsh, T., Harrell, M.I., Lee, M.K., </w:t>
      </w:r>
      <w:proofErr w:type="spellStart"/>
      <w:r>
        <w:t>Pennil</w:t>
      </w:r>
      <w:proofErr w:type="spellEnd"/>
      <w:r>
        <w:t xml:space="preserve">, C.C., </w:t>
      </w:r>
      <w:proofErr w:type="spellStart"/>
      <w:r>
        <w:t>Rendi</w:t>
      </w:r>
      <w:proofErr w:type="spellEnd"/>
      <w:r>
        <w:t xml:space="preserve">, M.H., Thornton, A., Norquist, B.M., </w:t>
      </w:r>
      <w:proofErr w:type="spellStart"/>
      <w:r>
        <w:t>Casadei</w:t>
      </w:r>
      <w:proofErr w:type="spellEnd"/>
      <w:r>
        <w:t>, S., Nord, A.S. and Agnew, K.J., 2014. Germline and somatic mutations in homologous recombination genes predict platinum response and survival in ovarian, fallopian tube, and peritoneal carcinomas. Clinical Cancer Research, 20(3),</w:t>
      </w:r>
    </w:p>
    <w:p w14:paraId="695F5E7E" w14:textId="4114979B" w:rsidR="00057F0C" w:rsidRDefault="00057F0C" w:rsidP="00716D5D">
      <w:pPr>
        <w:pStyle w:val="0reference"/>
      </w:pPr>
      <w:r>
        <w:t xml:space="preserve">Popova, T., </w:t>
      </w:r>
      <w:proofErr w:type="spellStart"/>
      <w:r>
        <w:t>Manié</w:t>
      </w:r>
      <w:proofErr w:type="spellEnd"/>
      <w:r>
        <w:t xml:space="preserve">, E., </w:t>
      </w:r>
      <w:proofErr w:type="spellStart"/>
      <w:r>
        <w:t>Rieunier</w:t>
      </w:r>
      <w:proofErr w:type="spellEnd"/>
      <w:r>
        <w:t xml:space="preserve">, G., </w:t>
      </w:r>
      <w:proofErr w:type="spellStart"/>
      <w:r>
        <w:t>Caux-Moncoutier</w:t>
      </w:r>
      <w:proofErr w:type="spellEnd"/>
      <w:r>
        <w:t xml:space="preserve">, V., </w:t>
      </w:r>
      <w:proofErr w:type="spellStart"/>
      <w:r>
        <w:t>Tirapo</w:t>
      </w:r>
      <w:proofErr w:type="spellEnd"/>
      <w:r>
        <w:t xml:space="preserve">, C., Dubois, T., Delattre, O., </w:t>
      </w:r>
      <w:proofErr w:type="spellStart"/>
      <w:r>
        <w:t>Sigal-Zafrani</w:t>
      </w:r>
      <w:proofErr w:type="spellEnd"/>
      <w:r>
        <w:t xml:space="preserve">, B., </w:t>
      </w:r>
      <w:proofErr w:type="spellStart"/>
      <w:r>
        <w:t>Bollet</w:t>
      </w:r>
      <w:proofErr w:type="spellEnd"/>
      <w:r>
        <w:t xml:space="preserve">, M., Longy, M. and </w:t>
      </w:r>
      <w:proofErr w:type="spellStart"/>
      <w:r>
        <w:t>Houdayer</w:t>
      </w:r>
      <w:proofErr w:type="spellEnd"/>
      <w:r>
        <w:t>, C., 2012. Ploidy and large-scale genomic instability consistently identify basal-like breast carcinomas with BRCA1/2 inactivation. Cancer research, 72(21), pp.5454-5462.</w:t>
      </w:r>
    </w:p>
    <w:p w14:paraId="0AB90608" w14:textId="5EB3D26B" w:rsidR="00057F0C" w:rsidRDefault="00057F0C" w:rsidP="00716D5D">
      <w:pPr>
        <w:pStyle w:val="0reference"/>
      </w:pPr>
      <w:proofErr w:type="spellStart"/>
      <w:r>
        <w:t>Birkbak</w:t>
      </w:r>
      <w:proofErr w:type="spellEnd"/>
      <w:r>
        <w:t xml:space="preserve">, N.J., </w:t>
      </w:r>
      <w:proofErr w:type="spellStart"/>
      <w:r>
        <w:t>Kochupurakkal</w:t>
      </w:r>
      <w:proofErr w:type="spellEnd"/>
      <w:r>
        <w:t xml:space="preserve">, B., </w:t>
      </w:r>
      <w:proofErr w:type="spellStart"/>
      <w:r>
        <w:t>Izarzugaza</w:t>
      </w:r>
      <w:proofErr w:type="spellEnd"/>
      <w:r>
        <w:t xml:space="preserve">, J.M., Eklund, A.C., Li, Y., Liu, J., </w:t>
      </w:r>
      <w:proofErr w:type="spellStart"/>
      <w:r>
        <w:t>Szallasi</w:t>
      </w:r>
      <w:proofErr w:type="spellEnd"/>
      <w:r>
        <w:t xml:space="preserve">, Z., </w:t>
      </w:r>
      <w:proofErr w:type="spellStart"/>
      <w:r>
        <w:t>Matulonis</w:t>
      </w:r>
      <w:proofErr w:type="spellEnd"/>
      <w:r>
        <w:t xml:space="preserve">, U.A., Richardson, A.L., </w:t>
      </w:r>
      <w:proofErr w:type="spellStart"/>
      <w:r>
        <w:t>Iglehart</w:t>
      </w:r>
      <w:proofErr w:type="spellEnd"/>
      <w:r>
        <w:t xml:space="preserve">, J.D. and Wang, Z.C., 2013. Tumor mutation burden forecasts outcome in ovarian cancer with BRCA1 or BRCA2 mutations. </w:t>
      </w:r>
      <w:proofErr w:type="spellStart"/>
      <w:r>
        <w:t>PloS</w:t>
      </w:r>
      <w:proofErr w:type="spellEnd"/>
      <w:r>
        <w:t xml:space="preserve"> one, 8(11), p.e80023.</w:t>
      </w:r>
    </w:p>
    <w:p w14:paraId="772916DA" w14:textId="27C988CC" w:rsidR="00057F0C" w:rsidRDefault="00057F0C" w:rsidP="00716D5D">
      <w:pPr>
        <w:pStyle w:val="0reference"/>
      </w:pPr>
      <w:proofErr w:type="spellStart"/>
      <w:r>
        <w:t>Alexandrov</w:t>
      </w:r>
      <w:proofErr w:type="spellEnd"/>
      <w:r>
        <w:t xml:space="preserve">, L.B., Nik-Zainal, S., Wedge, D.C., Aparicio, S.A., </w:t>
      </w:r>
      <w:proofErr w:type="spellStart"/>
      <w:r>
        <w:t>Behjati</w:t>
      </w:r>
      <w:proofErr w:type="spellEnd"/>
      <w:r>
        <w:t xml:space="preserve">, S., </w:t>
      </w:r>
      <w:proofErr w:type="spellStart"/>
      <w:r>
        <w:t>Biankin</w:t>
      </w:r>
      <w:proofErr w:type="spellEnd"/>
      <w:r>
        <w:t xml:space="preserve">, A.V., </w:t>
      </w:r>
      <w:proofErr w:type="spellStart"/>
      <w:r>
        <w:t>Bignell</w:t>
      </w:r>
      <w:proofErr w:type="spellEnd"/>
      <w:r>
        <w:t xml:space="preserve">, G.R., </w:t>
      </w:r>
      <w:proofErr w:type="spellStart"/>
      <w:r>
        <w:t>Bolli</w:t>
      </w:r>
      <w:proofErr w:type="spellEnd"/>
      <w:r>
        <w:t xml:space="preserve">, N., Borg, A., </w:t>
      </w:r>
      <w:proofErr w:type="spellStart"/>
      <w:r>
        <w:t>Børresen</w:t>
      </w:r>
      <w:proofErr w:type="spellEnd"/>
      <w:r>
        <w:t xml:space="preserve">-Dale, A.L. and </w:t>
      </w:r>
      <w:proofErr w:type="spellStart"/>
      <w:r>
        <w:t>Boyault</w:t>
      </w:r>
      <w:proofErr w:type="spellEnd"/>
      <w:r>
        <w:t>, S., 2013. Signatures of mutational processes in human cancer. Nature, 500(7463), p.415.</w:t>
      </w:r>
    </w:p>
    <w:p w14:paraId="7E5EA101" w14:textId="6B2F1AB3" w:rsidR="00057F0C" w:rsidRDefault="00057F0C" w:rsidP="00716D5D">
      <w:pPr>
        <w:pStyle w:val="0reference"/>
      </w:pPr>
      <w:proofErr w:type="spellStart"/>
      <w:r>
        <w:t>Kondrashova</w:t>
      </w:r>
      <w:proofErr w:type="spellEnd"/>
      <w:r>
        <w:t>, O., Nguyen, M., Shield-</w:t>
      </w:r>
      <w:proofErr w:type="spellStart"/>
      <w:r>
        <w:t>Artin</w:t>
      </w:r>
      <w:proofErr w:type="spellEnd"/>
      <w:r>
        <w:t xml:space="preserve">, K., Tinker, A.V., Teng, N.N., Harrell, M.I., Kuiper, M.J., Ho, G.Y., Barker, H., </w:t>
      </w:r>
      <w:proofErr w:type="spellStart"/>
      <w:r>
        <w:t>Jasin</w:t>
      </w:r>
      <w:proofErr w:type="spellEnd"/>
      <w:r>
        <w:t>, M. and Prakash, R., 2017. Secondary somatic mutations restoring RAD51C and RAD51D associated with acquired resistance to the PARP inhibitor rucaparib in high-grade ovarian carcinoma. Cancer discovery, 7(9), pp.984-998.</w:t>
      </w:r>
    </w:p>
    <w:p w14:paraId="0F538E4A" w14:textId="2A4EEBCF" w:rsidR="00057F0C" w:rsidRDefault="00057F0C" w:rsidP="00716D5D">
      <w:pPr>
        <w:pStyle w:val="0reference"/>
      </w:pPr>
      <w:r>
        <w:t>Goodall, J., Mateo, J., Yuan, W., Mossop, H., Porta, N., Miranda, S., Perez-Lopez, R., Dolling, D., Robinson, D.R., Sandhu, S. and Fowler, G., 2017. Circulating cell-free DNA to guide prostate cancer treatment with PARP inhibition. Cancer discovery, 7(9), pp.1006-1017.</w:t>
      </w:r>
    </w:p>
    <w:p w14:paraId="13866827" w14:textId="71A12F28" w:rsidR="00057F0C" w:rsidRDefault="00057F0C" w:rsidP="00716D5D">
      <w:pPr>
        <w:pStyle w:val="0reference"/>
      </w:pPr>
      <w:r>
        <w:t xml:space="preserve">Norquist, B., </w:t>
      </w:r>
      <w:proofErr w:type="spellStart"/>
      <w:r>
        <w:t>Wurz</w:t>
      </w:r>
      <w:proofErr w:type="spellEnd"/>
      <w:r>
        <w:t xml:space="preserve">, K.A., </w:t>
      </w:r>
      <w:proofErr w:type="spellStart"/>
      <w:r>
        <w:t>Pennil</w:t>
      </w:r>
      <w:proofErr w:type="spellEnd"/>
      <w:r>
        <w:t xml:space="preserve">, C.C., Garcia, R., Gross, J., Sakai, W., </w:t>
      </w:r>
      <w:proofErr w:type="spellStart"/>
      <w:r>
        <w:t>Karlan</w:t>
      </w:r>
      <w:proofErr w:type="spellEnd"/>
      <w:r>
        <w:t>, B.Y., Taniguchi, T. and Swisher, E.M., 2011. Secondary somatic mutations restoring BRCA1/2 predict chemotherapy resistance in hereditary ovarian carcinomas. Journal of clinical oncology, 29(22), p.3008.</w:t>
      </w:r>
    </w:p>
    <w:p w14:paraId="26566DA5" w14:textId="2F086602" w:rsidR="00057F0C" w:rsidRDefault="00057F0C" w:rsidP="00716D5D">
      <w:pPr>
        <w:pStyle w:val="0reference"/>
      </w:pPr>
      <w:r>
        <w:t xml:space="preserve">Johnson, N., Johnson, S.F., Yao, W., Li, Y.C., Choi, Y.E., </w:t>
      </w:r>
      <w:proofErr w:type="spellStart"/>
      <w:r>
        <w:t>Bernhardy</w:t>
      </w:r>
      <w:proofErr w:type="spellEnd"/>
      <w:r>
        <w:t xml:space="preserve">, A.J., Wang, Y., </w:t>
      </w:r>
      <w:proofErr w:type="spellStart"/>
      <w:r>
        <w:t>Capelletti</w:t>
      </w:r>
      <w:proofErr w:type="spellEnd"/>
      <w:r>
        <w:t xml:space="preserve">, M., </w:t>
      </w:r>
      <w:proofErr w:type="spellStart"/>
      <w:r>
        <w:t>Sarosiek</w:t>
      </w:r>
      <w:proofErr w:type="spellEnd"/>
      <w:r>
        <w:t>, K.A., Moreau, L.A. and Chowdhury, D., 2013. Stabilization of mutant BRCA1 protein confers PARP inhibitor and platinum resistance. Proceedings of the National Academy of Sciences, 110(42), pp.17041-17046.</w:t>
      </w:r>
    </w:p>
    <w:p w14:paraId="5CB925BC" w14:textId="3163F480" w:rsidR="00057F0C" w:rsidRDefault="00057F0C" w:rsidP="00716D5D">
      <w:pPr>
        <w:pStyle w:val="0reference"/>
      </w:pPr>
      <w:r>
        <w:t xml:space="preserve">Chaudhuri, A.R., Callen, E., Ding, X., </w:t>
      </w:r>
      <w:proofErr w:type="spellStart"/>
      <w:r>
        <w:t>Gogola</w:t>
      </w:r>
      <w:proofErr w:type="spellEnd"/>
      <w:r>
        <w:t xml:space="preserve">, E., Duarte, A.A., Lee, J.E., Wong, N., </w:t>
      </w:r>
      <w:proofErr w:type="spellStart"/>
      <w:r>
        <w:t>Lafarga</w:t>
      </w:r>
      <w:proofErr w:type="spellEnd"/>
      <w:r>
        <w:t xml:space="preserve">, V., Calvo, J.A., </w:t>
      </w:r>
      <w:proofErr w:type="spellStart"/>
      <w:r>
        <w:t>Panzarino</w:t>
      </w:r>
      <w:proofErr w:type="spellEnd"/>
      <w:r>
        <w:t>, N.J. and John, S., 2016. Replication fork stability confers chemoresistance in BRCA-deficient cells. Nature, 535(7612), p.382.</w:t>
      </w:r>
    </w:p>
    <w:p w14:paraId="45E9927C" w14:textId="13DAE7DB" w:rsidR="00057F0C" w:rsidRDefault="00057F0C" w:rsidP="00716D5D">
      <w:pPr>
        <w:pStyle w:val="0reference"/>
      </w:pPr>
      <w:r>
        <w:lastRenderedPageBreak/>
        <w:t xml:space="preserve">Jaspers, J.E., </w:t>
      </w:r>
      <w:proofErr w:type="spellStart"/>
      <w:r>
        <w:t>Kersbergen</w:t>
      </w:r>
      <w:proofErr w:type="spellEnd"/>
      <w:r>
        <w:t xml:space="preserve">, A., Boon, U., Sol, W., Van </w:t>
      </w:r>
      <w:proofErr w:type="spellStart"/>
      <w:r>
        <w:t>Deemter</w:t>
      </w:r>
      <w:proofErr w:type="spellEnd"/>
      <w:r>
        <w:t xml:space="preserve">, L., Zander, S.A., </w:t>
      </w:r>
      <w:proofErr w:type="spellStart"/>
      <w:r>
        <w:t>Drost</w:t>
      </w:r>
      <w:proofErr w:type="spellEnd"/>
      <w:r>
        <w:t xml:space="preserve">, R., </w:t>
      </w:r>
      <w:proofErr w:type="spellStart"/>
      <w:r>
        <w:t>Wientjens</w:t>
      </w:r>
      <w:proofErr w:type="spellEnd"/>
      <w:r>
        <w:t xml:space="preserve">, E., Ji, J., Aly, A. and </w:t>
      </w:r>
      <w:proofErr w:type="spellStart"/>
      <w:r>
        <w:t>Doroshow</w:t>
      </w:r>
      <w:proofErr w:type="spellEnd"/>
      <w:r>
        <w:t>, J.H., 2013. Loss of 53BP1 causes PARP inhibitor resistance in Brca1-mutated mouse mammary tumors. Cancer discovery, 3(1), pp.68-81.</w:t>
      </w:r>
    </w:p>
    <w:p w14:paraId="4E47BFDE" w14:textId="5C970734" w:rsidR="00057F0C" w:rsidRPr="00057F0C" w:rsidRDefault="00057F0C" w:rsidP="00716D5D">
      <w:pPr>
        <w:pStyle w:val="0reference"/>
      </w:pPr>
      <w:r>
        <w:t xml:space="preserve">Burger, H., Loos, W.J., </w:t>
      </w:r>
      <w:proofErr w:type="spellStart"/>
      <w:r>
        <w:t>Eechoute</w:t>
      </w:r>
      <w:proofErr w:type="spellEnd"/>
      <w:r>
        <w:t xml:space="preserve">, K., Verweij, J., </w:t>
      </w:r>
      <w:proofErr w:type="spellStart"/>
      <w:r>
        <w:t>Mathijssen</w:t>
      </w:r>
      <w:proofErr w:type="spellEnd"/>
      <w:r>
        <w:t xml:space="preserve">, R.H. and </w:t>
      </w:r>
      <w:proofErr w:type="spellStart"/>
      <w:r>
        <w:t>Wiemer</w:t>
      </w:r>
      <w:proofErr w:type="spellEnd"/>
      <w:r>
        <w:t>, E.A., 2011. Drug transporters of platinum-based anticancer agents and their clinical significance. Drug Resistance Updates, 14(1), pp.22-34.</w:t>
      </w:r>
    </w:p>
    <w:sectPr w:rsidR="00057F0C" w:rsidRPr="00057F0C"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A933D" w14:textId="77777777" w:rsidR="00E94307" w:rsidRDefault="00E94307" w:rsidP="00E96490">
      <w:r>
        <w:separator/>
      </w:r>
    </w:p>
  </w:endnote>
  <w:endnote w:type="continuationSeparator" w:id="0">
    <w:p w14:paraId="3622E024" w14:textId="77777777" w:rsidR="00E94307" w:rsidRDefault="00E94307"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EFF" w:usb1="C000785B"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52853" w14:textId="77777777" w:rsidR="00E94307" w:rsidRDefault="00E94307" w:rsidP="00E96490">
      <w:r>
        <w:separator/>
      </w:r>
    </w:p>
  </w:footnote>
  <w:footnote w:type="continuationSeparator" w:id="0">
    <w:p w14:paraId="45CDC374" w14:textId="77777777" w:rsidR="00E94307" w:rsidRDefault="00E94307"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57F0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63E4"/>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5BF8"/>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106"/>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CEC"/>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6D5D"/>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4E93"/>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608"/>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5BB8"/>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704"/>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2DA0"/>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307"/>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5FFC"/>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qFormat/>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qFormat/>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EAE0-11A8-7745-BF0F-81786819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1635</Words>
  <Characters>9324</Characters>
  <Application>Microsoft Office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9</cp:revision>
  <cp:lastPrinted>2020-07-13T03:01:00Z</cp:lastPrinted>
  <dcterms:created xsi:type="dcterms:W3CDTF">2020-09-14T08:42:00Z</dcterms:created>
  <dcterms:modified xsi:type="dcterms:W3CDTF">2020-09-15T06:17:00Z</dcterms:modified>
</cp:coreProperties>
</file>