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CTNNB1</w:t>
                  </w:r>
                </w:p>
              </w:tc>
              <w:tc>
                <w:tcPr>
                  <w:tcW w:type="dxa" w:w="1644"/>
                </w:tcPr>
                <w:p>
                  <w:pPr>
                    <w:jc w:val="left"/>
                  </w:pPr>
                  <w:r>
                    <w:rPr>
                      <w:i w:val="0"/>
                      <w:color w:val="595959"/>
                      <w:sz w:val="14"/>
                    </w:rPr>
                    <w:t>S33C</w:t>
                  </w:r>
                </w:p>
              </w:tc>
              <w:tc>
                <w:tcPr>
                  <w:tcW w:type="dxa" w:w="1877"/>
                </w:tcPr>
                <w:p>
                  <w:pPr>
                    <w:jc w:val="left"/>
                  </w:pPr>
                  <w:r>
                    <w:rPr>
                      <w:i w:val="0"/>
                      <w:color w:val="595959"/>
                      <w:sz w:val="14"/>
                    </w:rPr>
                    <w:t>恶性黑色素瘤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VaishnaviA,etal.Oncogenic and drug-sensitive NTRK1 rearrangements in lung cancer.Nat Med. 2013 Nov;19(11):1469-72. doi: 10.1038/nm.3352. Epub 2013 Oct 27.</w:t>
            </w:r>
          </w:p>
          <w:p>
            <w:pPr>
              <w:pStyle w:val="0reference"/>
            </w:pPr>
            <w:r>
              <w:t>Lassen A,etal.Effects of AKT inhibitor therapy in response and resistance to BRAF inhibition in melanoma.Mol Cancer. 2014 Apr 16;13:83. doi: 10.1186/1476-4598-13-83.</w:t>
            </w:r>
          </w:p>
          <w:p>
            <w:pPr>
              <w:pStyle w:val="0reference"/>
            </w:pPr>
            <w:r>
              <w:t>Int J Cancer. 2001 Jun 15;92(6):839-42.Cytoplasmic and nuclear accumulation of beta-catenin is rarely caused by CTNNB1 exon 3 mutations in cutaneous malignant melanoma.Omholt K</w:t>
            </w:r>
          </w:p>
          <w:p>
            <w:pPr>
              <w:pStyle w:val="0reference"/>
            </w:pPr>
            <w:r>
              <w:t>SenB,etal.Kinase-impaired BRAF mutations in lung cancer confer sensitivity to dasatinib.SciTransl Med. 2012 May 30;4(136):136ra70. doi: 10.1126/scitranslmed.3003513.</w:t>
            </w:r>
          </w:p>
          <w:p>
            <w:pPr>
              <w:pStyle w:val="0reference"/>
            </w:pPr>
            <w:r>
              <w:t>OhashiK,etal.Characteristics of lung cancers harboring NRAS mutations.Clin Cancer Res. 2013 May 1;19(9):2584-91. doi: 10.1158/1078-0432.CCR-12-3173. Epub 2013 Mar 20.</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