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Int J Cancer. 2001 Jun 15;92(6):839-42.Cytoplasmic and nuclear accumulation of beta-catenin is rarely caused by CTNNB1 exon 3 mutations in cutaneous malignant melanoma.Omholt K</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