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OhashiK,etal.Characteristics of lung cancers harboring NRAS mutations.Clin Cancer Res. 2013 May 1;19(9):2584-91. doi: 10.1158/1078-0432.CCR-12-3173. Epub 2013 Mar 20.</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GautschiO,etal.A patient with lung adenocarcinoma and RET fusion treated with vandetanib.JThoracOncol. 2013 May;8(5):e43-4. doi: 10.1097/JTO.0b013e31828a4d07.</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DrilonA,etal.Response to Cabozantinib in patients with RET fusion-positive lung adenocarcinomas.CancerDiscov. 2013 Jun;3(6):630-5. doi: 10.1158/2159-8290.CD-13-0035. Epub 2013 Mar 26.</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Shaw AT,etal.Crizotinib versus chemotherapy in advanced ALK-positive lung cancer.NEngl J Med. 2013 Jun 20;368(25):2385-94. doi: 10.1056/NEJMoa1214886. Epub 2013 Jun 1.</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CamidgeDR,etal.Activity and safety of crizotinib in patients with ALK-positive non-small-cell lung cancer: updated results from a phase 1 study.LancetOncol. 2012 Oct;13(10):1011-9. doi: 10.1016/S1470-2045(12)70344-3. Epub 2012 Sep 4.</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