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VaishnaviA,etal.Oncogenic and drug-sensitive NTRK1 rearrangements in lung cancer.Nat Med. 2013 Nov;19(11):1469-72. doi: 10.1038/nm.3352. Epub 2013 Oct 27.</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RielyGJ,etal.Frequency and distinctive spectrum of KRAS mutations in never smokers with lung adenocarcinoma.Clin Cancer Res. 2008 Sep 15;14(18):5731-4. doi: 10.1158/1078-0432.CCR-08-0646.</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RielyGJ,etal.KRAS mutations in non-small cell lung cancer.Proc Am Thorac Soc. 2009 Apr 15;6(2):201-5. doi: 10.1513/pats.200809-107LC.</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OhashiK,etal.Characteristics of lung cancers harboring NRAS mutations.Clin Cancer Res. 2013 May 1;19(9):2584-91. doi: 10.1158/1078-0432.CCR-12-3173. Epub 2013 Mar 20.</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