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HRAS</w:t>
                  </w:r>
                </w:p>
              </w:tc>
              <w:tc>
                <w:tcPr>
                  <w:tcW w:type="dxa" w:w="1644"/>
                </w:tcPr>
                <w:p>
                  <w:pPr>
                    <w:jc w:val="left"/>
                  </w:pPr>
                  <w:r>
                    <w:rPr>
                      <w:i w:val="0"/>
                      <w:color w:val="595959"/>
                      <w:sz w:val="14"/>
                    </w:rPr>
                    <w:t>致病突变</w:t>
                  </w:r>
                </w:p>
              </w:tc>
              <w:tc>
                <w:tcPr>
                  <w:tcW w:type="dxa" w:w="1877"/>
                </w:tcPr>
                <w:p>
                  <w:pPr>
                    <w:jc w:val="left"/>
                  </w:pPr>
                  <w:r>
                    <w:rPr>
                      <w:i w:val="0"/>
                      <w:color w:val="595959"/>
                      <w:sz w:val="14"/>
                    </w:rPr>
                    <w:t>头颈部鳞状细胞癌</w:t>
                  </w:r>
                </w:p>
              </w:tc>
              <w:tc>
                <w:tcPr>
                  <w:tcW w:type="dxa" w:w="2625"/>
                </w:tcPr>
                <w:p>
                  <w:pPr>
                    <w:jc w:val="left"/>
                  </w:pPr>
                  <w:r>
                    <w:rPr>
                      <w:i w:val="0"/>
                      <w:color w:val="595959"/>
                      <w:sz w:val="14"/>
                    </w:rPr>
                    <w:t>Tipifarnib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VaishnaviA,etal.Oncogenic and drug-sensitive NTRK1 rearrangements in lung cancer.Nat Med. 2013 Nov;19(11):1469-72. doi: 10.1038/nm.3352. Epub 2013 Oct 27.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PaezJG,etal.EGFR mutations in lung cancer: correlation with clinical response to gefitinibtherapy.Science. 2004 Jun 4;304(5676):1497-500. Epub 2004 Apr 29.</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OhashiK,etal.Characteristics of lung cancers harboring NRAS mutations.Clin Cancer Res. 2013 May 1;19(9):2584-91. doi: 10.1158/1078-0432.CCR-12-3173. Epub 2013 Mar 20.</w:t>
            </w:r>
          </w:p>
          <w:p>
            <w:pPr>
              <w:pStyle w:val="0reference"/>
            </w:pPr>
            <w:r>
              <w:t>RielyGJ,etal.Frequency and distinctive spectrum of KRAS mutations in never smokers with lung adenocarcinoma.Clin Cancer Res. 2008 Sep 15;14(18):5731-4. doi: 10.1158/1078-0432.CCR-08-0646.</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Dung T. Le, t al.. Mismatch-repair deficiency predicts response of solid tumors to PD-1 blockade. Science 10.1126/science.aan6733 (2017).</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