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ESR1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AZD9496，氟维司群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ESR1</w:t>
                  </w:r>
                </w:p>
              </w:tc>
              <w:tc>
                <w:tcPr>
                  <w:tcW w:type="dxa" w:w="1644"/>
                </w:tcPr>
                <w:p>
                  <w:pPr>
                    <w:jc w:val="left"/>
                  </w:pPr>
                  <w:r>
                    <w:rPr>
                      <w:i w:val="0"/>
                      <w:color w:val="595959"/>
                      <w:sz w:val="14"/>
                    </w:rPr>
                    <w:t>D538G</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L536_D538delinsP</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L536H</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L536Q</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Y537C</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Y537N</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Y537S</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胆管癌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FGFR2</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Castilla LH, Couch FJ, Erdos MR, Hoskins KF, Calzone K, Garber JE, Boyd J, Lubin MB, Deshano ML, Brody LC, et al.Mutations in the BRCA1 gene in families with early-onset breast and ovarian cancer.Nat Genet. 1994 Dec;8(4):387-91.</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VaishnaviA,etal.Oncogenic and drug-sensitive NTRK1 rearrangements in lung cancer.Nat Med. 2013 Nov;19(11):1469-72. doi: 10.1038/nm.3352. Epub 2013 Oct 27.</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BRCA2 Mutations and Triple-Negative Breast Cancer Peter Meyer1*, Katharina Landgraf1, Bernhard Ho ̈gel2, Wolfgang Eiermann3, Beyhan Ataseven3| www.plosone.orgMay 2012 | Volume 7 | Issue 5 | e38361</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Singh D,etal.Transforming fusions of FGFR and TACC genes in human glioblastoma.Science. 2012 Sep 7;337(6099):1231-5. doi: 10.1126/science.1220834. Epub 2012 Jul 26.</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