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VaishnaviA,etal.Oncogenic and drug-sensitive NTRK1 rearrangements in lung cancer.Nat Med. 2013 Nov;19(11):1469-72. doi: 10.1038/nm.3352. Epub 2013 Oct 27.</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RielyGJ,etal.Frequency and distinctive spectrum of KRAS mutations in never smokers with lung adenocarcinoma.Clin Cancer Res. 2008 Sep 15;14(18):5731-4. doi: 10.1158/1078-0432.CCR-08-0646.</w:t>
            </w:r>
          </w:p>
          <w:p>
            <w:pPr>
              <w:pStyle w:val="0reference"/>
            </w:pPr>
            <w:r>
              <w:t>Lassen A,etal.Effects of AKT inhibitor therapy in response and resistance to BRAF inhibition in melanoma.Mol Cancer. 2014 Apr 16;13:83. doi: 10.1186/1476-4598-13-83.</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PaezJG,etal.EGFR mutations in lung cancer: correlation with clinical response to gefitinibtherapy.Science. 2004 Jun 4;304(5676):1497-500. Epub 2004 Apr 29.</w:t>
            </w:r>
          </w:p>
          <w:p>
            <w:pPr>
              <w:pStyle w:val="0reference"/>
            </w:pPr>
            <w:r>
              <w:t>SenB,etal.Kinase-impaired BRAF mutations in lung cancer confer sensitivity to dasatinib.SciTransl Med. 2012 May 30;4(136):136ra70. doi: 10.1126/scitranslmed.3003513.</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