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310A0" w14:textId="3EC3C93E" w:rsidR="00BE5369" w:rsidRPr="00C1124B" w:rsidRDefault="00C1124B" w:rsidP="00C1124B">
      <w:pPr>
        <w:rPr>
          <w:rFonts w:hint="eastAsia"/>
        </w:rPr>
      </w:pPr>
      <w:r>
        <w:t xml:space="preserve">
          <w:p>
            <w:pPr>
              <w:pStyle w:val="010"/>
            </w:pPr>
            <w:r>
              <w:t>参考信息</w:t>
            </w:r>
          </w:p>
          <w:p>
            <w:pPr>
              <w:pStyle w:val="02"/>
            </w:pPr>
            <w:r>
              <w:t>主要靶向基因及药物</w:t>
            </w:r>
          </w:p>
          <w:tbl>
            <w:tblPr>
              <w:tblStyle w:val="reference"/>
              <w:tblW w:type="auto" w:w="0"/>
              <w:tblLook w:firstColumn="1" w:firstRow="1" w:lastColumn="0" w:lastRow="0" w:noHBand="0" w:noVBand="1" w:val="04A0"/>
            </w:tblPr>
            <w:tblGrid>
              <w:gridCol w:w="1440"/>
              <w:gridCol w:w="1440"/>
              <w:gridCol w:w="1440"/>
              <w:gridCol w:w="1440"/>
              <w:gridCol w:w="1440"/>
              <w:gridCol w:w="1440"/>
            </w:tblGrid>
            <w:tr>
              <w:tc>
                <w:tcPr>
                  <w:tcW w:type="dxa" w:w="1202"/>
                </w:tcPr>
                <w:p>
                  <w:pPr>
                    <w:jc w:val="left"/>
                  </w:pPr>
                  <w:r>
                    <w:rPr>
                      <w:i w:val="0"/>
                      <w:color w:val="595959"/>
                      <w:sz w:val="16"/>
                    </w:rPr>
                    <w:t>基因名称</w:t>
                  </w:r>
                </w:p>
              </w:tc>
              <w:tc>
                <w:tcPr>
                  <w:tcW w:type="dxa" w:w="1644"/>
                </w:tcPr>
                <w:p>
                  <w:pPr>
                    <w:jc w:val="left"/>
                  </w:pPr>
                  <w:r>
                    <w:rPr>
                      <w:i w:val="0"/>
                      <w:color w:val="595959"/>
                      <w:sz w:val="16"/>
                    </w:rPr>
                    <w:t>变异</w:t>
                  </w:r>
                </w:p>
              </w:tc>
              <w:tc>
                <w:tcPr>
                  <w:tcW w:type="dxa" w:w="1877"/>
                </w:tcPr>
                <w:p>
                  <w:pPr>
                    <w:jc w:val="left"/>
                  </w:pPr>
                  <w:r>
                    <w:rPr>
                      <w:i w:val="0"/>
                      <w:color w:val="595959"/>
                      <w:sz w:val="16"/>
                    </w:rPr>
                    <w:t>适应症</w:t>
                  </w:r>
                </w:p>
              </w:tc>
              <w:tc>
                <w:tcPr>
                  <w:tcW w:type="dxa" w:w="2625"/>
                </w:tcPr>
                <w:p>
                  <w:pPr>
                    <w:jc w:val="left"/>
                  </w:pPr>
                  <w:r>
                    <w:rPr>
                      <w:i w:val="0"/>
                      <w:color w:val="595959"/>
                      <w:sz w:val="16"/>
                    </w:rPr>
                    <w:t>药物</w:t>
                  </w:r>
                </w:p>
              </w:tc>
              <w:tc>
                <w:tcPr>
                  <w:tcW w:type="dxa" w:w="1293"/>
                </w:tcPr>
                <w:p>
                  <w:pPr>
                    <w:jc w:val="left"/>
                  </w:pPr>
                  <w:r>
                    <w:rPr>
                      <w:i w:val="0"/>
                      <w:color w:val="595959"/>
                      <w:sz w:val="16"/>
                    </w:rPr>
                    <w:t>检测意义</w:t>
                  </w:r>
                </w:p>
              </w:tc>
              <w:tc>
                <w:tcPr>
                  <w:tcW w:type="dxa" w:w="1128"/>
                </w:tcPr>
                <w:p>
                  <w:pPr>
                    <w:jc w:val="left"/>
                  </w:pPr>
                  <w:r>
                    <w:rPr>
                      <w:i w:val="0"/>
                      <w:color w:val="595959"/>
                      <w:sz w:val="16"/>
                    </w:rPr>
                    <w:t>证据等级</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NTRK1</w:t>
                  </w:r>
                </w:p>
              </w:tc>
              <w:tc>
                <w:tcPr>
                  <w:tcW w:type="dxa" w:w="1644"/>
                </w:tcPr>
                <w:p>
                  <w:pPr>
                    <w:jc w:val="left"/>
                  </w:pPr>
                  <w:r>
                    <w:rPr>
                      <w:i w:val="0"/>
                      <w:color w:val="595959"/>
                      <w:sz w:val="14"/>
                    </w:rPr>
                    <w:t>G595R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卵巢癌</w:t>
                  </w:r>
                </w:p>
              </w:tc>
              <w:tc>
                <w:tcPr>
                  <w:tcW w:type="dxa" w:w="2625"/>
                </w:tcPr>
                <w:p>
                  <w:pPr>
                    <w:jc w:val="left"/>
                  </w:pPr>
                  <w:r>
                    <w:rPr>
                      <w:i w:val="0"/>
                      <w:color w:val="595959"/>
                      <w:sz w:val="14"/>
                    </w:rPr>
                    <w:t>奥拉帕利，rucaparib，niraparib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前列腺癌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奥拉帕利，talazoparib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胰腺癌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PTEN</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GSK2636771，AZD8186</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埃尔德海姆 - 切斯特病</w:t>
                  </w:r>
                </w:p>
              </w:tc>
              <w:tc>
                <w:tcPr>
                  <w:tcW w:type="dxa" w:w="2625"/>
                </w:tcPr>
                <w:p>
                  <w:pPr>
                    <w:jc w:val="left"/>
                  </w:pPr>
                  <w:r>
                    <w:rPr>
                      <w:i w:val="0"/>
                      <w:color w:val="595959"/>
                      <w:sz w:val="14"/>
                    </w:rPr>
                    <w:t>维莫非尼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L505H</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V47_D380del</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非小细胞肺癌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V600K</w:t>
                  </w:r>
                </w:p>
              </w:tc>
              <w:tc>
                <w:tcPr>
                  <w:tcW w:type="dxa" w:w="1877"/>
                </w:tcPr>
                <w:p>
                  <w:pPr>
                    <w:jc w:val="left"/>
                  </w:pPr>
                  <w:r>
                    <w:rPr>
                      <w:i w:val="0"/>
                      <w:color w:val="595959"/>
                      <w:sz w:val="14"/>
                    </w:rPr>
                    <w:t>黑色素瘤</w:t>
                  </w:r>
                </w:p>
              </w:tc>
              <w:tc>
                <w:tcPr>
                  <w:tcW w:type="dxa" w:w="2625"/>
                </w:tcPr>
                <w:p>
                  <w:pPr>
                    <w:jc w:val="left"/>
                  </w:pPr>
                  <w:r>
                    <w:rPr>
                      <w:i w:val="0"/>
                      <w:color w:val="595959"/>
                      <w:sz w:val="14"/>
                    </w:rPr>
                    <w:t>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K601</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L597</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黑色素瘤</w:t>
                  </w:r>
                </w:p>
              </w:tc>
              <w:tc>
                <w:tcPr>
                  <w:tcW w:type="dxa" w:w="2625"/>
                </w:tcPr>
                <w:p>
                  <w:pPr>
                    <w:jc w:val="left"/>
                  </w:pPr>
                  <w:r>
                    <w:rPr>
                      <w:i w:val="0"/>
                      <w:color w:val="595959"/>
                      <w:sz w:val="14"/>
                    </w:rPr>
                    <w:t>维莫非尼，达拉非尼，达拉非尼+曲美替尼，维莫非尼+Cobimetinib，曲美替尼，Encorafenib+Binimetinib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间变性甲状腺癌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dabrafenib+曲美替尼+（西妥昔单抗或panitumumab），Encorafenib+Binimetinib+（西妥昔单抗或panitumumab）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维莫非尼+panitumumab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激活突变</w:t>
                  </w:r>
                </w:p>
              </w:tc>
              <w:tc>
                <w:tcPr>
                  <w:tcW w:type="dxa" w:w="1877"/>
                </w:tcPr>
                <w:p>
                  <w:pPr>
                    <w:jc w:val="left"/>
                  </w:pPr>
                  <w:r>
                    <w:rPr>
                      <w:i w:val="0"/>
                      <w:color w:val="595959"/>
                      <w:sz w:val="14"/>
                    </w:rPr>
                    <w:t>所有肿瘤</w:t>
                  </w:r>
                </w:p>
              </w:tc>
              <w:tc>
                <w:tcPr>
                  <w:tcW w:type="dxa" w:w="2625"/>
                </w:tcPr>
                <w:p>
                  <w:pPr>
                    <w:jc w:val="left"/>
                  </w:pPr>
                  <w:r>
                    <w:rPr>
                      <w:i w:val="0"/>
                      <w:color w:val="595959"/>
                      <w:sz w:val="14"/>
                    </w:rPr>
                    <w:t>PLX8394</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转移性结直肠癌</w:t>
                  </w:r>
                </w:p>
              </w:tc>
              <w:tc>
                <w:tcPr>
                  <w:tcW w:type="dxa" w:w="2625"/>
                </w:tcPr>
                <w:p>
                  <w:pPr>
                    <w:jc w:val="left"/>
                  </w:pPr>
                  <w:r>
                    <w:rPr>
                      <w:i w:val="0"/>
                      <w:color w:val="595959"/>
                      <w:sz w:val="14"/>
                    </w:rPr>
                    <w:t>伊立替康+（西妥昔单抗或panitumumab）+维莫非尼联合用药</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野生型</w:t>
                  </w:r>
                </w:p>
              </w:tc>
              <w:tc>
                <w:tcPr>
                  <w:tcW w:type="dxa" w:w="1877"/>
                </w:tcPr>
                <w:p>
                  <w:pPr>
                    <w:jc w:val="left"/>
                  </w:pPr>
                  <w:r>
                    <w:rPr>
                      <w:i w:val="0"/>
                      <w:color w:val="595959"/>
                      <w:sz w:val="14"/>
                    </w:rPr>
                    <w:t>结直肠癌</w:t>
                  </w:r>
                </w:p>
              </w:tc>
              <w:tc>
                <w:tcPr>
                  <w:tcW w:type="dxa" w:w="2625"/>
                </w:tcPr>
                <w:p>
                  <w:pPr>
                    <w:jc w:val="left"/>
                  </w:pPr>
                  <w:r>
                    <w:rPr>
                      <w:i w:val="0"/>
                      <w:color w:val="595959"/>
                      <w:sz w:val="14"/>
                    </w:rPr>
                    <w:t>瑞戈非尼，panitumumab，西妥昔单抗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KRAS</w:t>
                  </w:r>
                </w:p>
              </w:tc>
              <w:tc>
                <w:tcPr>
                  <w:tcW w:type="dxa" w:w="1644"/>
                </w:tcPr>
                <w:p>
                  <w:pPr>
                    <w:jc w:val="left"/>
                  </w:pPr>
                  <w:r>
                    <w:rPr>
                      <w:i w:val="0"/>
                      <w:color w:val="595959"/>
                      <w:sz w:val="14"/>
                    </w:rPr>
                    <w:t>G12C</w:t>
                  </w:r>
                </w:p>
              </w:tc>
              <w:tc>
                <w:tcPr>
                  <w:tcW w:type="dxa" w:w="1877"/>
                </w:tcPr>
                <w:p>
                  <w:pPr>
                    <w:jc w:val="left"/>
                  </w:pPr>
                  <w:r>
                    <w:rPr>
                      <w:i w:val="0"/>
                      <w:color w:val="595959"/>
                      <w:sz w:val="14"/>
                    </w:rPr>
                    <w:t>所有肿瘤</w:t>
                  </w:r>
                </w:p>
              </w:tc>
              <w:tc>
                <w:tcPr>
                  <w:tcW w:type="dxa" w:w="2625"/>
                </w:tcPr>
                <w:p>
                  <w:pPr>
                    <w:jc w:val="left"/>
                  </w:pPr>
                  <w:r>
                    <w:rPr>
                      <w:i w:val="0"/>
                      <w:color w:val="595959"/>
                      <w:sz w:val="14"/>
                    </w:rPr>
                    <w:t>AMG510</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Cobimetinib，Binimetinib，曲美替尼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BRCA1</w:t>
                  </w:r>
                </w:p>
              </w:tc>
              <w:tc>
                <w:tcPr>
                  <w:tcW w:type="dxa" w:w="1644"/>
                </w:tcPr>
                <w:p>
                  <w:pPr>
                    <w:jc w:val="left"/>
                  </w:pPr>
                  <w:r>
                    <w:rPr>
                      <w:i w:val="0"/>
                      <w:color w:val="595959"/>
                      <w:sz w:val="14"/>
                    </w:rPr>
                    <w:t>致病突变</w:t>
                  </w:r>
                </w:p>
              </w:tc>
              <w:tc>
                <w:tcPr>
                  <w:tcW w:type="dxa" w:w="1877"/>
                </w:tcPr>
                <w:p>
                  <w:pPr>
                    <w:jc w:val="left"/>
                  </w:pPr>
                  <w:r>
                    <w:rPr>
                      <w:i w:val="0"/>
                      <w:color w:val="595959"/>
                      <w:sz w:val="14"/>
                    </w:rPr>
                    <w:t>卵巢癌</w:t>
                  </w:r>
                </w:p>
              </w:tc>
              <w:tc>
                <w:tcPr>
                  <w:tcW w:type="dxa" w:w="2625"/>
                </w:tcPr>
                <w:p>
                  <w:pPr>
                    <w:jc w:val="left"/>
                  </w:pPr>
                  <w:r>
                    <w:rPr>
                      <w:i w:val="0"/>
                      <w:color w:val="595959"/>
                      <w:sz w:val="14"/>
                    </w:rPr>
                    <w:t>奥拉帕利，rucaparib，niraparib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BRCA1</w:t>
                  </w:r>
                </w:p>
              </w:tc>
              <w:tc>
                <w:tcPr>
                  <w:tcW w:type="dxa" w:w="1644"/>
                </w:tcPr>
                <w:p>
                  <w:pPr>
                    <w:jc w:val="left"/>
                  </w:pPr>
                  <w:r>
                    <w:rPr>
                      <w:i w:val="0"/>
                      <w:color w:val="595959"/>
                      <w:sz w:val="14"/>
                    </w:rPr>
                    <w:t>致病突变</w:t>
                  </w:r>
                </w:p>
              </w:tc>
              <w:tc>
                <w:tcPr>
                  <w:tcW w:type="dxa" w:w="1877"/>
                </w:tcPr>
                <w:p>
                  <w:pPr>
                    <w:jc w:val="left"/>
                  </w:pPr>
                  <w:r>
                    <w:rPr>
                      <w:i w:val="0"/>
                      <w:color w:val="595959"/>
                      <w:sz w:val="14"/>
                    </w:rPr>
                    <w:t>前列腺癌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BRCA1</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奥拉帕利，talazoparib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BRCA1</w:t>
                  </w:r>
                </w:p>
              </w:tc>
              <w:tc>
                <w:tcPr>
                  <w:tcW w:type="dxa" w:w="1644"/>
                </w:tcPr>
                <w:p>
                  <w:pPr>
                    <w:jc w:val="left"/>
                  </w:pPr>
                  <w:r>
                    <w:rPr>
                      <w:i w:val="0"/>
                      <w:color w:val="595959"/>
                      <w:sz w:val="14"/>
                    </w:rPr>
                    <w:t>致病突变</w:t>
                  </w:r>
                </w:p>
              </w:tc>
              <w:tc>
                <w:tcPr>
                  <w:tcW w:type="dxa" w:w="1877"/>
                </w:tcPr>
                <w:p>
                  <w:pPr>
                    <w:jc w:val="left"/>
                  </w:pPr>
                  <w:r>
                    <w:rPr>
                      <w:i w:val="0"/>
                      <w:color w:val="595959"/>
                      <w:sz w:val="14"/>
                    </w:rPr>
                    <w:t>胰腺癌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NTRK3</w:t>
                  </w:r>
                </w:p>
              </w:tc>
              <w:tc>
                <w:tcPr>
                  <w:tcW w:type="dxa" w:w="1644"/>
                </w:tcPr>
                <w:p>
                  <w:pPr>
                    <w:jc w:val="left"/>
                  </w:pPr>
                  <w:r>
                    <w:rPr>
                      <w:i w:val="0"/>
                      <w:color w:val="595959"/>
                      <w:sz w:val="14"/>
                    </w:rPr>
                    <w:t>G623R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Alpelisib + 氟维司群</w:t>
                  </w:r>
                </w:p>
              </w:tc>
              <w:tc>
                <w:tcPr>
                  <w:tcW w:type="dxa" w:w="1293"/>
                </w:tcPr>
                <w:p>
                  <w:pPr>
                    <w:jc w:val="left"/>
                  </w:pPr>
                  <w:r>
                    <w:rPr>
                      <w:i w:val="0"/>
                      <w:color w:val="595959"/>
                      <w:sz w:val="14"/>
                    </w:rPr>
                    <w:t>疗效可能↑</w:t>
                  </w:r>
                </w:p>
              </w:tc>
              <w:tc>
                <w:tcPr>
                  <w:tcW w:type="dxa" w:w="1128"/>
                </w:tcPr>
                <w:p>
                  <w:pPr>
                    <w:jc w:val="left"/>
                  </w:pPr>
                  <w:r>
                    <w:rPr>
                      <w:i w:val="0"/>
                      <w:color w:val="595959"/>
                      <w:sz w:val="14"/>
                    </w:rPr>
                    <w:t>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Buparlisib，Serabelisib，Copanlisib，GDC-0077，Taselisib + 氟维司群，Alpelisib，Buparlisib + 氟维司群，Taselisib，依维莫司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bl>
          <w:p>
            <w:pPr>
              <w:pStyle w:val="3detectresult1"/>
            </w:pPr>
            <w:r>
              <w:t>阅读帮助：证据等级表示该基因靶点在该适应症中对药物反应的可信度：</w:t>
            </w:r>
          </w:p>
          <w:p>
            <w:pPr>
              <w:pStyle w:val="04"/>
            </w:pPr>
            <w:r>
              <w:t>1：FDA认可的分子标志物，可预测本适应症中对FDA批准的药物的反应；</w:t>
            </w:r>
          </w:p>
          <w:p>
            <w:pPr>
              <w:pStyle w:val="04"/>
            </w:pPr>
            <w:r>
              <w:t>2A：标准治疗的分子标志物，预测对该适应症中FDA批准的药物的反应；</w:t>
            </w:r>
          </w:p>
          <w:p>
            <w:pPr>
              <w:pStyle w:val="04"/>
            </w:pPr>
            <w:r>
              <w:t>2B：在其他适应症中是标准治疗的分子标志物，预测对FDA批准的药物的反应，但在此适应症中不是标准治疗；</w:t>
            </w:r>
          </w:p>
          <w:p>
            <w:pPr>
              <w:pStyle w:val="04"/>
            </w:pPr>
            <w:r>
              <w:t>3A：令⼈信服的临床证据⽀持⽣物标志物预测该适应症对该药物的反应；</w:t>
            </w:r>
          </w:p>
          <w:p>
            <w:pPr>
              <w:pStyle w:val="04"/>
            </w:pPr>
            <w:r>
              <w:t>3B：令⼈信服的临床证据⽀持⽣物标志物预测其他适应症对该药物的反应；</w:t>
            </w:r>
          </w:p>
          <w:p>
            <w:pPr>
              <w:pStyle w:val="04"/>
            </w:pPr>
            <w:r>
              <w:t>4：令⼈信服的⽣物学证据⽀持⽣物标志物预测对药物的反应；</w:t>
            </w:r>
          </w:p>
          <w:p>
            <w:pPr>
              <w:pStyle w:val="04"/>
            </w:pPr>
            <w:r>
              <w:t>R1：标准治疗的分子标志物可预测本适应症中对FDA批准的药物的抵抗；</w:t>
            </w:r>
          </w:p>
          <w:p>
            <w:pPr>
              <w:pStyle w:val="04"/>
            </w:pPr>
            <w:r>
              <w:t>R2：令人信服的临床证据支持分子标志物可预测对药物的抵抗。</w:t>
            </w:r>
          </w:p>
          <w:p>
            <w:pPr>
              <w:pStyle w:val="04"/>
            </w:pPr>
            <w:r>
              <w:t>附录内容根据本检测范围内的现有指南文件和临床研究收录。随着研究的进展，可能在未来发现新的靶标或开发新的药物。本实验室将定期进行更新。</w:t>
            </w:r>
          </w:p>
          <w:p>
            <w:r>
              <w:br w:type="page"/>
            </w:r>
          </w:p>
          <w:p>
            <w:pPr>
              <w:pStyle w:val="02"/>
            </w:pPr>
            <w:r>
              <w:t>参考文献</w:t>
            </w:r>
          </w:p>
          <w:p>
            <w:pPr>
              <w:pStyle w:val="0reference"/>
            </w:pPr>
            <w:r>
              <w:t>NCCN Biomarkers Compendium at: http://www.nccn.org/professionals/biomarkers/content/</w:t>
            </w:r>
          </w:p>
          <w:p>
            <w:pPr>
              <w:pStyle w:val="0reference"/>
            </w:pPr>
            <w:r>
              <w:t>U.S. Food and Drug Administration, Table of Pharmacogenomic Biomarkers in Drug Labeling. Available online at: http://www.fda.gov/Drugs/ScienceResearch/ResearchAreas/Pharmacogenetics/ucm083378.htm</w:t>
            </w:r>
          </w:p>
          <w:p>
            <w:pPr>
              <w:pStyle w:val="0reference"/>
            </w:pPr>
            <w:r>
              <w:t>My Cancer Genome at: http://www.mycancergenome.org/</w:t>
            </w:r>
          </w:p>
          <w:p>
            <w:pPr>
              <w:pStyle w:val="0reference"/>
            </w:pPr>
            <w:r>
              <w:t>PharmGKB: The Pharmacogenomics Knowledgebase. Available online at: http://www.pharmgkb.org/index.jsp</w:t>
            </w:r>
          </w:p>
          <w:p>
            <w:pPr>
              <w:pStyle w:val="0reference"/>
            </w:pPr>
            <w:r>
              <w:t>Castilla LH, Couch FJ, Erdos MR, Hoskins KF, Calzone K, Garber JE, Boyd J, Lubin MB, Deshano ML, Brody LC, et al.Mutations in the BRCA1 gene in families with early-onset breast and ovarian cancer.Nat Genet. 1994 Dec;8(4):387-91.</w:t>
            </w:r>
          </w:p>
          <w:p>
            <w:pPr>
              <w:pStyle w:val="0reference"/>
            </w:pPr>
            <w:r>
              <w:t>VaishnaviA,etal.Oncogenic and drug-sensitive NTRK1 rearrangements in lung cancer.Nat Med. 2013 Nov;19(11):1469-72. doi: 10.1038/nm.3352. Epub 2013 Oct 27.</w:t>
            </w:r>
          </w:p>
          <w:p>
            <w:pPr>
              <w:pStyle w:val="0reference"/>
            </w:pPr>
            <w:r>
              <w:t>SosML,etal.PTEN loss contributes to erlotinib resistance in EGFR-mutant lung cancer by activation of Akt and EGFR.Cancer Res. 2009 Apr 15;69(8):3256-61. doi: 10.1158/0008-5472.CAN-08-4055. Epub 2009 Apr 7.</w:t>
            </w:r>
          </w:p>
          <w:p>
            <w:pPr>
              <w:pStyle w:val="0reference"/>
            </w:pPr>
            <w:r>
              <w:t>RielyGJ,etal.Frequency and distinctive spectrum of KRAS mutations in never smokers with lung adenocarcinoma.Clin Cancer Res. 2008 Sep 15;14(18):5731-4. doi: 10.1158/1078-0432.CCR-08-0646.</w:t>
            </w:r>
          </w:p>
          <w:p>
            <w:pPr>
              <w:pStyle w:val="0reference"/>
            </w:pPr>
            <w:r>
              <w:t>Lassen A,etal.Effects of AKT inhibitor therapy in response and resistance to BRAF inhibition in melanoma.Mol Cancer. 2014 Apr 16;13:83. doi: 10.1186/1476-4598-13-83.</w:t>
            </w:r>
          </w:p>
          <w:p>
            <w:pPr>
              <w:pStyle w:val="0reference"/>
            </w:pPr>
            <w:r>
              <w:t>BRCA2 Mutations and Triple-Negative Breast Cancer Peter Meyer1*, Katharina Landgraf1, Bernhard Ho ̈gel2, Wolfgang Eiermann3, Beyhan Ataseven3| www.plosone.orgMay 2012 | Volume 7 | Issue 5 | e38361</w:t>
            </w:r>
          </w:p>
          <w:p>
            <w:pPr>
              <w:pStyle w:val="0reference"/>
            </w:pPr>
            <w:r>
              <w:t>BendellJC,etal.Phase I, dose-escalation study of BKM120, an oral pan-Class I PI3K inhibitor, in patients with advanced solid tumors.JClinOncol. 2012 Jan 20;30(3):282-90. doi: 10.1200/JCO.2011.36.1360. Epub 2011 Dec 12.</w:t>
            </w:r>
          </w:p>
          <w:p>
            <w:pPr>
              <w:pStyle w:val="0reference"/>
            </w:pPr>
            <w:r>
              <w:t>Jin G,etal.PTEN mutations and relationship to EGFR, ERBB2, KRAS, and TP53 mutations in non-small cell lung cancers.Lung Cancer. 2010 Sep;69(3):279-83. doi: 10.1016/j.lungcan.2009.11.012. Epub 2009 Dec 16.</w:t>
            </w:r>
          </w:p>
          <w:p>
            <w:pPr>
              <w:pStyle w:val="0reference"/>
            </w:pPr>
            <w:r>
              <w:t>RielyGJ,etal.KRAS mutations in non-small cell lung cancer.Proc Am Thorac Soc. 2009 Apr 15;6(2):201-5. doi: 10.1513/pats.200809-107LC.</w:t>
            </w:r>
          </w:p>
          <w:p>
            <w:pPr>
              <w:pStyle w:val="0reference"/>
            </w:pPr>
            <w:r>
              <w:t>SenB,etal.Kinase-impaired BRAF mutations in lung cancer confer sensitivity to dasatinib.SciTransl Med. 2012 May 30;4(136):136ra70. doi: 10.1126/scitranslmed.3003513.</w:t>
            </w:r>
          </w:p>
          <w:p>
            <w:pPr>
              <w:pStyle w:val="0reference"/>
            </w:pPr>
            <w:r>
              <w:t>Mayer IA,etal.Stand up to cancer phase Ib study of pan-phosphoinositide-3-kinase inhibitor buparlisib with letrozole in estrogen receptor-positive/human epidermal growth factor receptor 2-negative metastatic breast cancer.JClinOncol. 2014 Apr 20;32(12):1202-9. doi: 10.1200/JCO.2013.54.0518. Epub 2014 Mar 24.</w:t>
            </w:r>
          </w:p>
        </w:t>
      </w:r>
      <w:bookmarkStart w:id="0" w:name="_GoBack"/>
      <w:bookmarkEnd w:id="0"/>
    </w:p>
    <w:sectPr w:rsidR="00BE5369" w:rsidRPr="00C1124B"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4FC6F" w14:textId="77777777" w:rsidR="007E6636" w:rsidRDefault="007E6636" w:rsidP="00E96490">
      <w:r>
        <w:separator/>
      </w:r>
    </w:p>
  </w:endnote>
  <w:endnote w:type="continuationSeparator" w:id="0">
    <w:p w14:paraId="134CE5C8" w14:textId="77777777" w:rsidR="007E6636" w:rsidRDefault="007E6636"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F4D5B" w14:textId="77777777" w:rsidR="007E6636" w:rsidRDefault="007E6636" w:rsidP="00E96490">
      <w:r>
        <w:separator/>
      </w:r>
    </w:p>
  </w:footnote>
  <w:footnote w:type="continuationSeparator" w:id="0">
    <w:p w14:paraId="02603514" w14:textId="77777777" w:rsidR="007E6636" w:rsidRDefault="007E6636"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6636"/>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369"/>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BE5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BE5369"/>
    <w:tblPr>
      <w:tblStyleRowBandSize w:val="1"/>
      <w:tblStyleColBandSize w:val="1"/>
    </w:tblPr>
    <w:tcPr>
      <w:vAlign w:val="center"/>
    </w:tcPr>
    <w:tblStylePr w:type="firstRow">
      <w:pPr>
        <w:wordWrap/>
        <w:adjustRightInd/>
        <w:snapToGrid/>
        <w:spacing w:beforeLines="50" w:before="50" w:beforeAutospacing="0" w:afterLines="50" w:after="50" w:afterAutospacing="0" w:line="240" w:lineRule="exact"/>
        <w:ind w:leftChars="0" w:left="0" w:rightChars="0" w:right="0" w:firstLineChars="0" w:firstLine="0"/>
        <w:contextualSpacing w:val="0"/>
        <w:mirrorIndents w:val="0"/>
        <w:jc w:val="left"/>
        <w:outlineLvl w:val="9"/>
      </w:pPr>
      <w:rPr>
        <w:rFonts w:ascii="思源黑体" w:eastAsia="思源黑体" w:hAnsi="思源黑体"/>
        <w:b w:val="0"/>
        <w:i w:val="0"/>
        <w:color w:val="FFFFFF" w:themeColor="background1"/>
        <w:sz w:val="16"/>
        <w:u w:val="none"/>
        <w:em w:val="none"/>
      </w:rPr>
      <w:tblPr/>
      <w:trPr>
        <w:cantSplit/>
        <w:tblHeader/>
      </w:trPr>
      <w:tcPr>
        <w:tcBorders>
          <w:top w:val="nil"/>
          <w:left w:val="nil"/>
          <w:bottom w:val="nil"/>
          <w:right w:val="nil"/>
          <w:insideH w:val="nil"/>
          <w:insideV w:val="nil"/>
          <w:tl2br w:val="nil"/>
          <w:tr2bl w:val="nil"/>
        </w:tcBorders>
        <w:shd w:val="clear" w:color="auto" w:fill="87A8AF"/>
        <w:vAlign w:val="top"/>
      </w:tcPr>
    </w:tblStylePr>
    <w:tblStylePr w:type="band1Horz">
      <w:pPr>
        <w:wordWrap/>
        <w:snapToGrid/>
        <w:spacing w:beforeLines="50" w:before="50" w:beforeAutospacing="0" w:afterLines="50" w:after="50" w:afterAutospacing="0" w:line="240" w:lineRule="auto"/>
        <w:ind w:leftChars="0" w:left="0" w:rightChars="0" w:right="0" w:firstLineChars="0" w:firstLine="0"/>
        <w:contextualSpacing w:val="0"/>
        <w:jc w:val="left"/>
        <w:outlineLvl w:val="9"/>
      </w:pPr>
      <w:rPr>
        <w:rFonts w:ascii="思源黑体" w:eastAsia="思源黑体" w:hAnsi="思源黑体"/>
        <w:b w:val="0"/>
        <w:i w:val="0"/>
        <w:color w:val="595959" w:themeColor="text1" w:themeTint="A6"/>
        <w:sz w:val="14"/>
        <w:u w:val="none"/>
        <w:em w:val="none"/>
      </w:rPr>
    </w:tblStylePr>
    <w:tblStylePr w:type="band2Horz">
      <w:pPr>
        <w:wordWrap/>
        <w:adjustRightInd/>
        <w:snapToGrid w:val="0"/>
        <w:spacing w:beforeLines="50" w:before="50" w:beforeAutospacing="0" w:afterLines="50" w:after="50" w:afterAutospacing="0" w:line="240" w:lineRule="auto"/>
        <w:ind w:leftChars="0" w:left="0" w:rightChars="0" w:right="0" w:firstLineChars="0" w:firstLine="0"/>
        <w:contextualSpacing w:val="0"/>
        <w:mirrorIndents w:val="0"/>
        <w:jc w:val="left"/>
        <w:outlineLvl w:val="9"/>
      </w:pPr>
      <w:rPr>
        <w:rFonts w:ascii="思源黑体" w:eastAsia="思源黑体" w:hAnsi="思源黑体"/>
        <w:b w:val="0"/>
        <w:i w:val="0"/>
        <w:snapToGrid/>
        <w:color w:val="595959" w:themeColor="text1" w:themeTint="A6"/>
        <w:kern w:val="0"/>
        <w:sz w:val="14"/>
        <w:u w:val="none"/>
        <w:em w:val="none"/>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C52D2-E81D-3545-92B6-89D0A2BB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Pages>
  <Words>2</Words>
  <Characters>12</Characters>
  <Application>Microsoft Office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107</cp:revision>
  <cp:lastPrinted>2020-07-13T03:01:00Z</cp:lastPrinted>
  <dcterms:created xsi:type="dcterms:W3CDTF">2020-07-20T03:46:00Z</dcterms:created>
  <dcterms:modified xsi:type="dcterms:W3CDTF">2020-09-15T09:16:00Z</dcterms:modified>
</cp:coreProperties>
</file>