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NF1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VaishnaviA,etal.Oncogenic and drug-sensitive NTRK1 rearrangements in lung cancer.Nat Med. 2013 Nov;19(11):1469-72. doi: 10.1038/nm.3352. Epub 2013 Oct 27.</w:t>
            </w:r>
          </w:p>
          <w:p>
            <w:pPr>
              <w:pStyle w:val="0reference"/>
            </w:pPr>
            <w:r>
              <w:t>Lassen A,etal.Effects of AKT inhibitor therapy in response and resistance to BRAF inhibition in melanoma.Mol Cancer. 2014 Apr 16;13:83. doi: 10.1186/1476-4598-13-83.</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Int J Cancer. 2001 Jun 15;92(6):839-42.Cytoplasmic and nuclear accumulation of beta-catenin is rarely caused by CTNNB1 exon 3 mutations in cutaneous malignant melanoma.Omholt K</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SenB,etal.Kinase-impaired BRAF mutations in lung cancer confer sensitivity to dasatinib.SciTransl Med. 2012 May 30;4(136):136ra70. doi: 10.1126/scitranslmed.3003513.</w:t>
            </w:r>
          </w:p>
          <w:p>
            <w:pPr>
              <w:pStyle w:val="0reference"/>
            </w:pPr>
            <w:r>
              <w:t>OhashiK,etal.Characteristics of lung cancers harboring NRAS mutations.Clin Cancer Res. 2013 May 1;19(9):2584-91. doi: 10.1158/1078-0432.CCR-12-3173. Epub 2013 Mar 20.</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